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00" w:rsidRPr="00512EEC" w:rsidRDefault="00C37700" w:rsidP="00C37700">
      <w:pPr>
        <w:jc w:val="right"/>
        <w:rPr>
          <w:szCs w:val="24"/>
        </w:rPr>
      </w:pPr>
      <w:r w:rsidRPr="00512EEC">
        <w:rPr>
          <w:szCs w:val="24"/>
        </w:rPr>
        <w:t>Law Office of Jan Alcide</w:t>
      </w:r>
    </w:p>
    <w:p w:rsidR="00C37700" w:rsidRPr="00512EEC" w:rsidRDefault="00C37700" w:rsidP="00C37700">
      <w:pPr>
        <w:jc w:val="right"/>
        <w:rPr>
          <w:sz w:val="20"/>
          <w:szCs w:val="20"/>
        </w:rPr>
      </w:pPr>
      <w:r w:rsidRPr="00512EEC">
        <w:rPr>
          <w:sz w:val="20"/>
          <w:szCs w:val="20"/>
        </w:rPr>
        <w:t>24591 Del Prado, Ste 201</w:t>
      </w:r>
    </w:p>
    <w:p w:rsidR="00C37700" w:rsidRPr="00512EEC" w:rsidRDefault="00C37700" w:rsidP="00C37700">
      <w:pPr>
        <w:jc w:val="right"/>
        <w:rPr>
          <w:sz w:val="20"/>
          <w:szCs w:val="20"/>
        </w:rPr>
      </w:pPr>
      <w:r w:rsidRPr="00512EEC">
        <w:rPr>
          <w:sz w:val="20"/>
          <w:szCs w:val="20"/>
        </w:rPr>
        <w:t>Dana Point, CA 92629</w:t>
      </w:r>
    </w:p>
    <w:p w:rsidR="00C37700" w:rsidRDefault="00C37700" w:rsidP="00C37700">
      <w:pPr>
        <w:jc w:val="right"/>
        <w:rPr>
          <w:sz w:val="28"/>
          <w:szCs w:val="28"/>
        </w:rPr>
      </w:pPr>
      <w:r w:rsidRPr="00512EEC">
        <w:rPr>
          <w:sz w:val="20"/>
          <w:szCs w:val="20"/>
        </w:rPr>
        <w:t>Ph: 949-607-9412   Fax: 949-481-6587</w:t>
      </w:r>
    </w:p>
    <w:p w:rsidR="00C37700" w:rsidRDefault="00C37700">
      <w:pPr>
        <w:rPr>
          <w:b/>
          <w:sz w:val="28"/>
          <w:szCs w:val="28"/>
        </w:rPr>
      </w:pPr>
    </w:p>
    <w:p w:rsidR="001A6B63" w:rsidRPr="00C37700" w:rsidRDefault="0046493B">
      <w:pPr>
        <w:rPr>
          <w:b/>
          <w:sz w:val="28"/>
          <w:szCs w:val="28"/>
        </w:rPr>
      </w:pPr>
      <w:r w:rsidRPr="00C37700">
        <w:rPr>
          <w:b/>
          <w:sz w:val="28"/>
          <w:szCs w:val="28"/>
        </w:rPr>
        <w:t>Introduction to Estate Planning- Explanation of Terms and Concepts</w:t>
      </w:r>
    </w:p>
    <w:p w:rsidR="0046493B" w:rsidRDefault="0046493B"/>
    <w:p w:rsidR="0046493B" w:rsidRDefault="0046493B" w:rsidP="0046493B">
      <w:pPr>
        <w:pStyle w:val="ListParagraph"/>
        <w:numPr>
          <w:ilvl w:val="0"/>
          <w:numId w:val="1"/>
        </w:numPr>
      </w:pPr>
      <w:r w:rsidRPr="00C37700">
        <w:rPr>
          <w:b/>
        </w:rPr>
        <w:t>What is capacity?</w:t>
      </w:r>
      <w:r>
        <w:t xml:space="preserve"> </w:t>
      </w:r>
      <w:r w:rsidRPr="0008420B">
        <w:rPr>
          <w:b/>
        </w:rPr>
        <w:t>(Slide # 3</w:t>
      </w:r>
      <w:r w:rsidR="0008420B" w:rsidRPr="0008420B">
        <w:rPr>
          <w:b/>
        </w:rPr>
        <w:t>)</w:t>
      </w:r>
    </w:p>
    <w:p w:rsidR="0046493B" w:rsidRDefault="0046493B" w:rsidP="0046493B">
      <w:pPr>
        <w:ind w:left="720"/>
      </w:pPr>
    </w:p>
    <w:p w:rsidR="0046493B" w:rsidRDefault="0046493B" w:rsidP="0046493B">
      <w:pPr>
        <w:ind w:left="720"/>
      </w:pPr>
      <w:r>
        <w:t xml:space="preserve">When we speak of capacity in a wills’ context, we are specifically </w:t>
      </w:r>
      <w:r w:rsidR="00C37700">
        <w:t>speaking</w:t>
      </w:r>
      <w:r>
        <w:t xml:space="preserve"> of mental capacity.  The requirements to have capacity are as follows:</w:t>
      </w:r>
    </w:p>
    <w:p w:rsidR="0046493B" w:rsidRDefault="0046493B" w:rsidP="0046493B">
      <w:pPr>
        <w:pStyle w:val="ListParagraph"/>
        <w:numPr>
          <w:ilvl w:val="1"/>
          <w:numId w:val="1"/>
        </w:numPr>
      </w:pPr>
      <w:r>
        <w:t>Must be 18 years of age or older</w:t>
      </w:r>
    </w:p>
    <w:p w:rsidR="0046493B" w:rsidRDefault="0046493B" w:rsidP="0046493B">
      <w:pPr>
        <w:pStyle w:val="ListParagraph"/>
        <w:numPr>
          <w:ilvl w:val="1"/>
          <w:numId w:val="1"/>
        </w:numPr>
      </w:pPr>
      <w:r>
        <w:t>Must be capable of knowing or understanding generally</w:t>
      </w:r>
    </w:p>
    <w:p w:rsidR="0046493B" w:rsidRDefault="0046493B" w:rsidP="0046493B">
      <w:pPr>
        <w:pStyle w:val="ListParagraph"/>
        <w:numPr>
          <w:ilvl w:val="2"/>
          <w:numId w:val="1"/>
        </w:numPr>
      </w:pPr>
      <w:r>
        <w:t>Your property</w:t>
      </w:r>
    </w:p>
    <w:p w:rsidR="0046493B" w:rsidRDefault="0046493B" w:rsidP="0046493B">
      <w:pPr>
        <w:pStyle w:val="ListParagraph"/>
        <w:numPr>
          <w:ilvl w:val="2"/>
          <w:numId w:val="1"/>
        </w:numPr>
      </w:pPr>
      <w:r>
        <w:t>Your family</w:t>
      </w:r>
    </w:p>
    <w:p w:rsidR="0046493B" w:rsidRDefault="0046493B" w:rsidP="0046493B">
      <w:pPr>
        <w:pStyle w:val="ListParagraph"/>
        <w:numPr>
          <w:ilvl w:val="2"/>
          <w:numId w:val="1"/>
        </w:numPr>
      </w:pPr>
      <w:r>
        <w:t>The effect of executing a will</w:t>
      </w:r>
    </w:p>
    <w:p w:rsidR="0046493B" w:rsidRDefault="0046493B" w:rsidP="0046493B">
      <w:pPr>
        <w:pStyle w:val="ListParagraph"/>
        <w:numPr>
          <w:ilvl w:val="2"/>
          <w:numId w:val="1"/>
        </w:numPr>
      </w:pPr>
      <w:r>
        <w:t xml:space="preserve">How the three factors are related to each other. </w:t>
      </w:r>
    </w:p>
    <w:p w:rsidR="0046493B" w:rsidRDefault="0046493B" w:rsidP="0046493B"/>
    <w:p w:rsidR="0046493B" w:rsidRDefault="0046493B" w:rsidP="0046493B">
      <w:pPr>
        <w:pStyle w:val="ListParagraph"/>
        <w:numPr>
          <w:ilvl w:val="0"/>
          <w:numId w:val="1"/>
        </w:numPr>
      </w:pPr>
      <w:r w:rsidRPr="00C37700">
        <w:rPr>
          <w:b/>
        </w:rPr>
        <w:t xml:space="preserve">What are some additional differences between a will and </w:t>
      </w:r>
      <w:r w:rsidR="00390B31" w:rsidRPr="00C37700">
        <w:rPr>
          <w:b/>
        </w:rPr>
        <w:t>trusts</w:t>
      </w:r>
      <w:r w:rsidRPr="00C37700">
        <w:rPr>
          <w:b/>
        </w:rPr>
        <w:t>?</w:t>
      </w:r>
      <w:r w:rsidR="0008420B" w:rsidRPr="0008420B">
        <w:rPr>
          <w:b/>
        </w:rPr>
        <w:t xml:space="preserve"> (Slide # 4)</w:t>
      </w:r>
    </w:p>
    <w:p w:rsidR="0046493B" w:rsidRDefault="0046493B" w:rsidP="0046493B">
      <w:pPr>
        <w:pStyle w:val="ListParagraph"/>
      </w:pPr>
    </w:p>
    <w:tbl>
      <w:tblPr>
        <w:tblStyle w:val="TableGrid"/>
        <w:tblW w:w="0" w:type="auto"/>
        <w:tblInd w:w="720" w:type="dxa"/>
        <w:tblLook w:val="04A0"/>
      </w:tblPr>
      <w:tblGrid>
        <w:gridCol w:w="4418"/>
        <w:gridCol w:w="4438"/>
      </w:tblGrid>
      <w:tr w:rsidR="0046493B" w:rsidTr="00390B31">
        <w:tc>
          <w:tcPr>
            <w:tcW w:w="4418" w:type="dxa"/>
          </w:tcPr>
          <w:p w:rsidR="0046493B" w:rsidRPr="005A3F85" w:rsidRDefault="0046493B" w:rsidP="005A3F85">
            <w:pPr>
              <w:pStyle w:val="ListParagraph"/>
              <w:ind w:left="0"/>
              <w:jc w:val="center"/>
              <w:rPr>
                <w:b/>
                <w:sz w:val="28"/>
                <w:szCs w:val="28"/>
              </w:rPr>
            </w:pPr>
            <w:r w:rsidRPr="005A3F85">
              <w:rPr>
                <w:b/>
                <w:sz w:val="28"/>
                <w:szCs w:val="28"/>
              </w:rPr>
              <w:t>Will</w:t>
            </w:r>
          </w:p>
        </w:tc>
        <w:tc>
          <w:tcPr>
            <w:tcW w:w="4438" w:type="dxa"/>
          </w:tcPr>
          <w:p w:rsidR="0046493B" w:rsidRPr="005A3F85" w:rsidRDefault="0046493B" w:rsidP="005A3F85">
            <w:pPr>
              <w:pStyle w:val="ListParagraph"/>
              <w:ind w:left="0"/>
              <w:jc w:val="center"/>
              <w:rPr>
                <w:b/>
                <w:sz w:val="28"/>
                <w:szCs w:val="28"/>
              </w:rPr>
            </w:pPr>
            <w:r w:rsidRPr="005A3F85">
              <w:rPr>
                <w:b/>
                <w:sz w:val="28"/>
                <w:szCs w:val="28"/>
              </w:rPr>
              <w:t>Trust</w:t>
            </w:r>
          </w:p>
        </w:tc>
      </w:tr>
      <w:tr w:rsidR="0046493B" w:rsidTr="00390B31">
        <w:tc>
          <w:tcPr>
            <w:tcW w:w="4418" w:type="dxa"/>
          </w:tcPr>
          <w:p w:rsidR="0046493B" w:rsidRDefault="005A3F85" w:rsidP="0046493B">
            <w:pPr>
              <w:pStyle w:val="ListParagraph"/>
              <w:numPr>
                <w:ilvl w:val="0"/>
                <w:numId w:val="2"/>
              </w:numPr>
            </w:pPr>
            <w:r>
              <w:t>Once probated, the will and all supporting documents become public record.</w:t>
            </w:r>
          </w:p>
          <w:p w:rsidR="005A3F85" w:rsidRPr="005A3F85" w:rsidRDefault="005A3F85" w:rsidP="005A3F85"/>
        </w:tc>
        <w:tc>
          <w:tcPr>
            <w:tcW w:w="4438" w:type="dxa"/>
          </w:tcPr>
          <w:p w:rsidR="0046493B" w:rsidRDefault="005A3F85" w:rsidP="00047878">
            <w:pPr>
              <w:pStyle w:val="ListParagraph"/>
              <w:numPr>
                <w:ilvl w:val="0"/>
                <w:numId w:val="2"/>
              </w:numPr>
            </w:pPr>
            <w:r>
              <w:t xml:space="preserve">Private unless court administration is used or required. This could be necessary where the testator was the trustee and there is no successor trustee </w:t>
            </w:r>
            <w:r w:rsidR="00047878">
              <w:t xml:space="preserve">named </w:t>
            </w:r>
            <w:r>
              <w:t xml:space="preserve">or where the beneficiaries are </w:t>
            </w:r>
            <w:r w:rsidR="00047878">
              <w:t>in conflict</w:t>
            </w:r>
            <w:r>
              <w:t xml:space="preserve">.  </w:t>
            </w:r>
          </w:p>
        </w:tc>
      </w:tr>
      <w:tr w:rsidR="005A3F85" w:rsidTr="00390B31">
        <w:tc>
          <w:tcPr>
            <w:tcW w:w="4418" w:type="dxa"/>
          </w:tcPr>
          <w:p w:rsidR="005A3F85" w:rsidRDefault="005A3F85" w:rsidP="0046493B">
            <w:pPr>
              <w:pStyle w:val="ListParagraph"/>
              <w:numPr>
                <w:ilvl w:val="0"/>
                <w:numId w:val="2"/>
              </w:numPr>
            </w:pPr>
            <w:r>
              <w:t>Can be used for tax planning but the cost increases and could become as expensive as having a trust.</w:t>
            </w:r>
          </w:p>
        </w:tc>
        <w:tc>
          <w:tcPr>
            <w:tcW w:w="4438" w:type="dxa"/>
          </w:tcPr>
          <w:p w:rsidR="005A3F85" w:rsidRDefault="005A3F85" w:rsidP="005A3F85">
            <w:pPr>
              <w:pStyle w:val="ListParagraph"/>
              <w:numPr>
                <w:ilvl w:val="0"/>
                <w:numId w:val="2"/>
              </w:numPr>
            </w:pPr>
            <w:r>
              <w:t xml:space="preserve">More commonly used for tax planning. </w:t>
            </w:r>
          </w:p>
        </w:tc>
      </w:tr>
      <w:tr w:rsidR="005A3F85" w:rsidTr="00390B31">
        <w:tc>
          <w:tcPr>
            <w:tcW w:w="4418" w:type="dxa"/>
          </w:tcPr>
          <w:p w:rsidR="005A3F85" w:rsidRDefault="005A3F85" w:rsidP="0046493B">
            <w:pPr>
              <w:pStyle w:val="ListParagraph"/>
              <w:numPr>
                <w:ilvl w:val="0"/>
                <w:numId w:val="2"/>
              </w:numPr>
            </w:pPr>
            <w:r>
              <w:t>Can be used to appoint guardians for the care of minor children</w:t>
            </w:r>
          </w:p>
        </w:tc>
        <w:tc>
          <w:tcPr>
            <w:tcW w:w="4438" w:type="dxa"/>
          </w:tcPr>
          <w:p w:rsidR="005A3F85" w:rsidRDefault="005A3F85" w:rsidP="005A3F85">
            <w:pPr>
              <w:pStyle w:val="ListParagraph"/>
              <w:numPr>
                <w:ilvl w:val="0"/>
                <w:numId w:val="2"/>
              </w:numPr>
            </w:pPr>
            <w:r>
              <w:t xml:space="preserve">Cannot be used to appoint guardians for minor children. </w:t>
            </w:r>
          </w:p>
        </w:tc>
      </w:tr>
    </w:tbl>
    <w:p w:rsidR="0046493B" w:rsidRDefault="0046493B" w:rsidP="0046493B">
      <w:pPr>
        <w:pStyle w:val="ListParagraph"/>
      </w:pPr>
      <w:r>
        <w:t xml:space="preserve"> </w:t>
      </w:r>
    </w:p>
    <w:p w:rsidR="00CE2AB3" w:rsidRDefault="00CE2AB3" w:rsidP="00CE2AB3">
      <w:pPr>
        <w:pStyle w:val="ListParagraph"/>
        <w:numPr>
          <w:ilvl w:val="0"/>
          <w:numId w:val="1"/>
        </w:numPr>
      </w:pPr>
      <w:r w:rsidRPr="00C37700">
        <w:rPr>
          <w:b/>
        </w:rPr>
        <w:t>What are the exceptions to probate?</w:t>
      </w:r>
      <w:r>
        <w:t xml:space="preserve"> </w:t>
      </w:r>
      <w:r w:rsidRPr="0008420B">
        <w:rPr>
          <w:b/>
        </w:rPr>
        <w:t>(Slide # 4)</w:t>
      </w:r>
    </w:p>
    <w:p w:rsidR="00CE2AB3" w:rsidRDefault="00CE2AB3" w:rsidP="00CE2AB3"/>
    <w:p w:rsidR="00CE2AB3" w:rsidRDefault="00CE2AB3" w:rsidP="00CE2AB3">
      <w:pPr>
        <w:pStyle w:val="ListParagraph"/>
        <w:numPr>
          <w:ilvl w:val="1"/>
          <w:numId w:val="1"/>
        </w:numPr>
      </w:pPr>
      <w:r>
        <w:t>The California Spousal Property Petition</w:t>
      </w:r>
    </w:p>
    <w:p w:rsidR="00CE2AB3" w:rsidRDefault="00CE2AB3" w:rsidP="00CE2AB3">
      <w:pPr>
        <w:pStyle w:val="ListParagraph"/>
        <w:numPr>
          <w:ilvl w:val="1"/>
          <w:numId w:val="1"/>
        </w:numPr>
      </w:pPr>
      <w:r>
        <w:t>Small Estates Act</w:t>
      </w:r>
    </w:p>
    <w:p w:rsidR="00CE2AB3" w:rsidRDefault="00CE2AB3" w:rsidP="00CE2AB3">
      <w:pPr>
        <w:pStyle w:val="ListParagraph"/>
        <w:numPr>
          <w:ilvl w:val="1"/>
          <w:numId w:val="1"/>
        </w:numPr>
      </w:pPr>
      <w:r>
        <w:t>Non-probate Assets</w:t>
      </w:r>
    </w:p>
    <w:p w:rsidR="00CE2AB3" w:rsidRPr="00C37700" w:rsidRDefault="00CE2AB3" w:rsidP="00CE2AB3">
      <w:pPr>
        <w:rPr>
          <w:b/>
        </w:rPr>
      </w:pPr>
    </w:p>
    <w:p w:rsidR="00CE2AB3" w:rsidRDefault="00CE2AB3" w:rsidP="00390B31">
      <w:pPr>
        <w:pStyle w:val="ListParagraph"/>
        <w:numPr>
          <w:ilvl w:val="0"/>
          <w:numId w:val="1"/>
        </w:numPr>
      </w:pPr>
      <w:r>
        <w:t>What is the California Spousal Property Petition?</w:t>
      </w:r>
      <w:r w:rsidR="00AD1A95">
        <w:t xml:space="preserve"> </w:t>
      </w:r>
      <w:r w:rsidR="00AD1A95" w:rsidRPr="00AD1A95">
        <w:rPr>
          <w:b/>
        </w:rPr>
        <w:t>(Slide #4)</w:t>
      </w:r>
    </w:p>
    <w:p w:rsidR="00CE2AB3" w:rsidRDefault="00CE2AB3" w:rsidP="00CE2AB3">
      <w:pPr>
        <w:pStyle w:val="ListParagraph"/>
      </w:pPr>
    </w:p>
    <w:p w:rsidR="00CE2AB3" w:rsidRDefault="00AD0F24" w:rsidP="00CE2AB3">
      <w:pPr>
        <w:pStyle w:val="ListParagraph"/>
      </w:pPr>
      <w:r>
        <w:t xml:space="preserve">In California, a surviving spouse may file a petition to have property administered outside of probate under these circumstances: </w:t>
      </w:r>
    </w:p>
    <w:p w:rsidR="00AD0F24" w:rsidRDefault="00AD0F24" w:rsidP="00AD0F24">
      <w:pPr>
        <w:pStyle w:val="ListParagraph"/>
        <w:numPr>
          <w:ilvl w:val="1"/>
          <w:numId w:val="1"/>
        </w:numPr>
      </w:pPr>
      <w:r>
        <w:t>Where the surviving spouse is the only beneficiary</w:t>
      </w:r>
      <w:r w:rsidR="00D03FA4">
        <w:t xml:space="preserve"> under the will</w:t>
      </w:r>
      <w:r>
        <w:t xml:space="preserve">, all the community, quasi-community and separate property of the estate can be transferred under the petition. Where there are other beneficiaries, a separate probate must be held for those assets being transferred to those beneficiaries. </w:t>
      </w:r>
    </w:p>
    <w:p w:rsidR="00AD0F24" w:rsidRDefault="00D03FA4" w:rsidP="00AD0F24">
      <w:pPr>
        <w:pStyle w:val="ListParagraph"/>
        <w:numPr>
          <w:ilvl w:val="1"/>
          <w:numId w:val="1"/>
        </w:numPr>
      </w:pPr>
      <w:r>
        <w:lastRenderedPageBreak/>
        <w:t xml:space="preserve">In the absence of a will, the community property can be transferred the spouse under the spousal petition. If the deceased spouse owned any separate property, then a full probate may need to be held for the administration of the separate property assets under the Intestacy Statute. </w:t>
      </w:r>
    </w:p>
    <w:p w:rsidR="00D03FA4" w:rsidRPr="00CE2AB3" w:rsidRDefault="00D03FA4" w:rsidP="00D03FA4">
      <w:pPr>
        <w:pStyle w:val="ListParagraph"/>
        <w:ind w:left="1440"/>
      </w:pPr>
    </w:p>
    <w:p w:rsidR="00390B31" w:rsidRDefault="00390B31" w:rsidP="00390B31">
      <w:pPr>
        <w:pStyle w:val="ListParagraph"/>
        <w:numPr>
          <w:ilvl w:val="0"/>
          <w:numId w:val="1"/>
        </w:numPr>
      </w:pPr>
      <w:r w:rsidRPr="00C37700">
        <w:rPr>
          <w:b/>
        </w:rPr>
        <w:t>What is the Small Estates Act?</w:t>
      </w:r>
      <w:r w:rsidR="0008420B">
        <w:t xml:space="preserve"> </w:t>
      </w:r>
      <w:r w:rsidR="0008420B" w:rsidRPr="0008420B">
        <w:rPr>
          <w:b/>
        </w:rPr>
        <w:t xml:space="preserve">(Slide # </w:t>
      </w:r>
      <w:r w:rsidR="00AD1A95">
        <w:rPr>
          <w:b/>
        </w:rPr>
        <w:t xml:space="preserve">4 &amp; </w:t>
      </w:r>
      <w:r w:rsidR="0008420B" w:rsidRPr="0008420B">
        <w:rPr>
          <w:b/>
        </w:rPr>
        <w:t>5)</w:t>
      </w:r>
    </w:p>
    <w:p w:rsidR="00390B31" w:rsidRDefault="00390B31" w:rsidP="00390B31">
      <w:pPr>
        <w:pStyle w:val="ListParagraph"/>
      </w:pPr>
    </w:p>
    <w:p w:rsidR="00C37700" w:rsidRDefault="00390B31" w:rsidP="00C37700">
      <w:pPr>
        <w:pStyle w:val="ListParagraph"/>
        <w:numPr>
          <w:ilvl w:val="1"/>
          <w:numId w:val="1"/>
        </w:numPr>
      </w:pPr>
      <w:r w:rsidRPr="00390B31">
        <w:t xml:space="preserve">The Small Estates Act:  Personal property can be transferred outside of probate where the gross value of the estate is under $100,000. </w:t>
      </w:r>
    </w:p>
    <w:p w:rsidR="00C37700" w:rsidRDefault="00390B31" w:rsidP="00C37700">
      <w:pPr>
        <w:pStyle w:val="ListParagraph"/>
        <w:numPr>
          <w:ilvl w:val="2"/>
          <w:numId w:val="1"/>
        </w:numPr>
      </w:pPr>
      <w:r w:rsidRPr="00390B31">
        <w:t xml:space="preserve">The successors of the decedent having an interest in the property can fill out and sign an affidavit which is presented to the holder of the property requesting a transfer of the property.  </w:t>
      </w:r>
    </w:p>
    <w:p w:rsidR="00C37700" w:rsidRDefault="00390B31" w:rsidP="00C37700">
      <w:pPr>
        <w:pStyle w:val="ListParagraph"/>
        <w:numPr>
          <w:ilvl w:val="2"/>
          <w:numId w:val="1"/>
        </w:numPr>
      </w:pPr>
      <w:r w:rsidRPr="00390B31">
        <w:t xml:space="preserve">This cannot be done until at least 40 </w:t>
      </w:r>
      <w:r w:rsidR="0008420B">
        <w:t>days following decedent’s death. T</w:t>
      </w:r>
      <w:r w:rsidRPr="00390B31">
        <w:t>here must be no probate proceeding pending at the</w:t>
      </w:r>
      <w:r w:rsidR="0008420B">
        <w:t xml:space="preserve"> time or have taken place in CA</w:t>
      </w:r>
      <w:r w:rsidRPr="00390B31">
        <w:t xml:space="preserve"> </w:t>
      </w:r>
      <w:r w:rsidR="0008420B">
        <w:t xml:space="preserve">or the personal representative or </w:t>
      </w:r>
      <w:r w:rsidRPr="00390B31">
        <w:t xml:space="preserve">executor must consent. </w:t>
      </w:r>
    </w:p>
    <w:p w:rsidR="00390B31" w:rsidRDefault="00390B31" w:rsidP="00C37700">
      <w:pPr>
        <w:pStyle w:val="ListParagraph"/>
        <w:numPr>
          <w:ilvl w:val="1"/>
          <w:numId w:val="1"/>
        </w:numPr>
      </w:pPr>
      <w:r w:rsidRPr="00390B31">
        <w:t xml:space="preserve">For the transfer of real property under the Small Estates Act, the successor must submit an affidavit with the court no sooner than 60 days following the decedent’s death. </w:t>
      </w:r>
    </w:p>
    <w:p w:rsidR="00390B31" w:rsidRPr="00390B31" w:rsidRDefault="00390B31" w:rsidP="00390B31">
      <w:pPr>
        <w:pStyle w:val="ListParagraph"/>
      </w:pPr>
    </w:p>
    <w:p w:rsidR="00390B31" w:rsidRPr="00390B31" w:rsidRDefault="00390B31" w:rsidP="00390B31">
      <w:pPr>
        <w:pStyle w:val="ListParagraph"/>
        <w:numPr>
          <w:ilvl w:val="0"/>
          <w:numId w:val="1"/>
        </w:numPr>
      </w:pPr>
      <w:r w:rsidRPr="00C37700">
        <w:rPr>
          <w:b/>
        </w:rPr>
        <w:t>What’s included in the gross estate?</w:t>
      </w:r>
      <w:r w:rsidR="0008420B" w:rsidRPr="0008420B">
        <w:rPr>
          <w:b/>
        </w:rPr>
        <w:t xml:space="preserve"> (Slide # 5)</w:t>
      </w:r>
    </w:p>
    <w:p w:rsidR="00600475" w:rsidRPr="00390B31" w:rsidRDefault="00D053D5" w:rsidP="0008420B">
      <w:pPr>
        <w:pStyle w:val="ListParagraph"/>
        <w:numPr>
          <w:ilvl w:val="0"/>
          <w:numId w:val="5"/>
        </w:numPr>
      </w:pPr>
      <w:r w:rsidRPr="00390B31">
        <w:t>Real Property</w:t>
      </w:r>
    </w:p>
    <w:p w:rsidR="00600475" w:rsidRPr="00390B31" w:rsidRDefault="00D053D5" w:rsidP="0008420B">
      <w:pPr>
        <w:pStyle w:val="ListParagraph"/>
        <w:numPr>
          <w:ilvl w:val="0"/>
          <w:numId w:val="5"/>
        </w:numPr>
      </w:pPr>
      <w:r w:rsidRPr="00390B31">
        <w:t>Personal Property</w:t>
      </w:r>
    </w:p>
    <w:p w:rsidR="00600475" w:rsidRPr="00390B31" w:rsidRDefault="00D053D5" w:rsidP="0008420B">
      <w:pPr>
        <w:pStyle w:val="ListParagraph"/>
        <w:numPr>
          <w:ilvl w:val="0"/>
          <w:numId w:val="5"/>
        </w:numPr>
      </w:pPr>
      <w:r w:rsidRPr="00390B31">
        <w:t>Life Insurance</w:t>
      </w:r>
    </w:p>
    <w:p w:rsidR="00600475" w:rsidRDefault="00D053D5" w:rsidP="0008420B">
      <w:pPr>
        <w:pStyle w:val="ListParagraph"/>
        <w:numPr>
          <w:ilvl w:val="0"/>
          <w:numId w:val="5"/>
        </w:numPr>
      </w:pPr>
      <w:r w:rsidRPr="00390B31">
        <w:t>Retirement funds.</w:t>
      </w:r>
    </w:p>
    <w:p w:rsidR="0008420B" w:rsidRPr="00390B31" w:rsidRDefault="0008420B" w:rsidP="0008420B">
      <w:pPr>
        <w:pStyle w:val="ListParagraph"/>
        <w:ind w:left="1440"/>
      </w:pPr>
    </w:p>
    <w:p w:rsidR="00390B31" w:rsidRPr="00390B31" w:rsidRDefault="00390B31" w:rsidP="0008420B">
      <w:pPr>
        <w:pStyle w:val="ListParagraph"/>
        <w:numPr>
          <w:ilvl w:val="0"/>
          <w:numId w:val="1"/>
        </w:numPr>
      </w:pPr>
      <w:r w:rsidRPr="00C37700">
        <w:rPr>
          <w:b/>
        </w:rPr>
        <w:t>What’s not included?</w:t>
      </w:r>
      <w:r w:rsidR="0008420B" w:rsidRPr="0008420B">
        <w:rPr>
          <w:b/>
        </w:rPr>
        <w:t xml:space="preserve"> (Slide # 5)</w:t>
      </w:r>
    </w:p>
    <w:p w:rsidR="00600475" w:rsidRPr="00390B31" w:rsidRDefault="00D053D5" w:rsidP="0008420B">
      <w:pPr>
        <w:pStyle w:val="ListParagraph"/>
        <w:numPr>
          <w:ilvl w:val="0"/>
          <w:numId w:val="5"/>
        </w:numPr>
      </w:pPr>
      <w:r w:rsidRPr="00390B31">
        <w:t>Vehicles and other state registered property (e.g. mobile homes, commercial coaches, campers etc.)</w:t>
      </w:r>
    </w:p>
    <w:p w:rsidR="00600475" w:rsidRPr="00390B31" w:rsidRDefault="00D053D5" w:rsidP="0008420B">
      <w:pPr>
        <w:pStyle w:val="ListParagraph"/>
        <w:numPr>
          <w:ilvl w:val="0"/>
          <w:numId w:val="5"/>
        </w:numPr>
      </w:pPr>
      <w:r w:rsidRPr="00390B31">
        <w:t>Unpaid salary: any amounts owed to the decedent from services in the armed forces and up to $5000 of unpaid salary of other compensation (unpaid vacation) for personal services from any employment.</w:t>
      </w:r>
    </w:p>
    <w:p w:rsidR="00600475" w:rsidRPr="00390B31" w:rsidRDefault="00D053D5" w:rsidP="0008420B">
      <w:pPr>
        <w:pStyle w:val="ListParagraph"/>
        <w:numPr>
          <w:ilvl w:val="0"/>
          <w:numId w:val="5"/>
        </w:numPr>
      </w:pPr>
      <w:r w:rsidRPr="00390B31">
        <w:t>Joint tenancy, life estates or any other property passing automatically to surviving spouse</w:t>
      </w:r>
    </w:p>
    <w:p w:rsidR="00600475" w:rsidRPr="00390B31" w:rsidRDefault="00D053D5" w:rsidP="0008420B">
      <w:pPr>
        <w:pStyle w:val="ListParagraph"/>
        <w:numPr>
          <w:ilvl w:val="0"/>
          <w:numId w:val="5"/>
        </w:numPr>
      </w:pPr>
      <w:r w:rsidRPr="00390B31">
        <w:t>Multiple-party accounts where the proceeds are payable to another surviving party, or payable on death payee or beneficiary</w:t>
      </w:r>
    </w:p>
    <w:p w:rsidR="00600475" w:rsidRDefault="00D053D5" w:rsidP="0008420B">
      <w:pPr>
        <w:pStyle w:val="ListParagraph"/>
        <w:numPr>
          <w:ilvl w:val="0"/>
          <w:numId w:val="5"/>
        </w:numPr>
      </w:pPr>
      <w:r w:rsidRPr="00390B31">
        <w:t>Inter</w:t>
      </w:r>
      <w:r w:rsidR="0008420B">
        <w:t xml:space="preserve"> </w:t>
      </w:r>
      <w:r w:rsidRPr="00390B31">
        <w:t xml:space="preserve">vivos trust assets </w:t>
      </w:r>
    </w:p>
    <w:p w:rsidR="00D03FA4" w:rsidRDefault="00D03FA4" w:rsidP="00D03FA4">
      <w:pPr>
        <w:pStyle w:val="ListParagraph"/>
        <w:ind w:left="1440"/>
      </w:pPr>
    </w:p>
    <w:p w:rsidR="00D03FA4" w:rsidRDefault="00D03FA4" w:rsidP="00D03FA4">
      <w:pPr>
        <w:pStyle w:val="ListParagraph"/>
        <w:numPr>
          <w:ilvl w:val="0"/>
          <w:numId w:val="1"/>
        </w:numPr>
        <w:rPr>
          <w:b/>
        </w:rPr>
      </w:pPr>
      <w:r w:rsidRPr="00D03FA4">
        <w:rPr>
          <w:b/>
        </w:rPr>
        <w:t>Non-Probate Assets</w:t>
      </w:r>
      <w:r w:rsidR="00AD1A95">
        <w:rPr>
          <w:b/>
        </w:rPr>
        <w:t xml:space="preserve"> (Slide # 4 &amp; 5)</w:t>
      </w:r>
    </w:p>
    <w:p w:rsidR="00D03FA4" w:rsidRDefault="00D03FA4" w:rsidP="00D03FA4">
      <w:pPr>
        <w:pStyle w:val="ListParagraph"/>
        <w:rPr>
          <w:b/>
        </w:rPr>
      </w:pPr>
    </w:p>
    <w:p w:rsidR="00D03FA4" w:rsidRDefault="00D03FA4" w:rsidP="00D03FA4">
      <w:pPr>
        <w:pStyle w:val="ListParagraph"/>
      </w:pPr>
      <w:r>
        <w:t xml:space="preserve">Non-probate assets are </w:t>
      </w:r>
      <w:r w:rsidR="00AD1A95">
        <w:t xml:space="preserve">those </w:t>
      </w:r>
      <w:r>
        <w:t xml:space="preserve">assets </w:t>
      </w:r>
      <w:r w:rsidR="00AD1A95">
        <w:t>which title passes automatically to another person at death. Examples of non-probate assets are:</w:t>
      </w:r>
    </w:p>
    <w:p w:rsidR="00AD1A95" w:rsidRDefault="00AD1A95" w:rsidP="00AD1A95">
      <w:pPr>
        <w:pStyle w:val="ListParagraph"/>
        <w:numPr>
          <w:ilvl w:val="0"/>
          <w:numId w:val="10"/>
        </w:numPr>
      </w:pPr>
      <w:r>
        <w:t>Life insurance policies with payable-on-death beneficiaries</w:t>
      </w:r>
    </w:p>
    <w:p w:rsidR="00AD1A95" w:rsidRDefault="00AD1A95" w:rsidP="00AD1A95">
      <w:pPr>
        <w:pStyle w:val="ListParagraph"/>
        <w:numPr>
          <w:ilvl w:val="0"/>
          <w:numId w:val="10"/>
        </w:numPr>
      </w:pPr>
      <w:r>
        <w:t>Joint tenancy with rights of survivorship</w:t>
      </w:r>
    </w:p>
    <w:p w:rsidR="00AD1A95" w:rsidRPr="00D03FA4" w:rsidRDefault="00AD1A95" w:rsidP="00AD1A95">
      <w:pPr>
        <w:pStyle w:val="ListParagraph"/>
        <w:numPr>
          <w:ilvl w:val="0"/>
          <w:numId w:val="10"/>
        </w:numPr>
      </w:pPr>
      <w:r>
        <w:t xml:space="preserve">Bank accounts, mutual funds, pension funds, IRA’s and other such accounts with payable-on-death beneficiary designations. </w:t>
      </w:r>
    </w:p>
    <w:p w:rsidR="0008420B" w:rsidRDefault="0008420B" w:rsidP="0008420B"/>
    <w:p w:rsidR="0008420B" w:rsidRDefault="0008420B" w:rsidP="0008420B">
      <w:pPr>
        <w:pStyle w:val="ListParagraph"/>
        <w:numPr>
          <w:ilvl w:val="0"/>
          <w:numId w:val="1"/>
        </w:numPr>
      </w:pPr>
      <w:r w:rsidRPr="00C37700">
        <w:rPr>
          <w:b/>
        </w:rPr>
        <w:lastRenderedPageBreak/>
        <w:t>Power of Attorneys</w:t>
      </w:r>
      <w:r w:rsidR="00C35935" w:rsidRPr="00C37700">
        <w:rPr>
          <w:b/>
        </w:rPr>
        <w:t xml:space="preserve"> (POA)</w:t>
      </w:r>
      <w:r>
        <w:t xml:space="preserve"> </w:t>
      </w:r>
      <w:r w:rsidRPr="00A9721F">
        <w:rPr>
          <w:b/>
        </w:rPr>
        <w:t>(Slide # 8)</w:t>
      </w:r>
    </w:p>
    <w:p w:rsidR="0008420B" w:rsidRDefault="0008420B" w:rsidP="0008420B">
      <w:pPr>
        <w:pStyle w:val="ListParagraph"/>
      </w:pPr>
    </w:p>
    <w:p w:rsidR="0008420B" w:rsidRDefault="0008420B" w:rsidP="0008420B">
      <w:pPr>
        <w:pStyle w:val="ListParagraph"/>
      </w:pPr>
      <w:r>
        <w:t xml:space="preserve">A power of attorney is only valid if it was executed when the principal had capacity.  Capacity, as used in this context, is the same as capacity in a wills context. Additionally, </w:t>
      </w:r>
      <w:r w:rsidR="00731D49">
        <w:t>a power of attorney</w:t>
      </w:r>
      <w:r>
        <w:t xml:space="preserve"> cannot be used to distribute property after the death of the principal </w:t>
      </w:r>
      <w:r w:rsidR="00731D49">
        <w:t xml:space="preserve">because it is automatically revoked at death. </w:t>
      </w:r>
    </w:p>
    <w:p w:rsidR="0008420B" w:rsidRDefault="0008420B" w:rsidP="0008420B">
      <w:pPr>
        <w:pStyle w:val="ListParagraph"/>
      </w:pPr>
    </w:p>
    <w:p w:rsidR="00390B31" w:rsidRPr="00A9721F" w:rsidRDefault="0008420B" w:rsidP="0008420B">
      <w:pPr>
        <w:pStyle w:val="ListParagraph"/>
        <w:numPr>
          <w:ilvl w:val="0"/>
          <w:numId w:val="1"/>
        </w:numPr>
        <w:rPr>
          <w:b/>
        </w:rPr>
      </w:pPr>
      <w:r w:rsidRPr="00C37700">
        <w:rPr>
          <w:b/>
        </w:rPr>
        <w:t>What is a health care power of attorney</w:t>
      </w:r>
      <w:r w:rsidR="00C35935" w:rsidRPr="00C37700">
        <w:rPr>
          <w:b/>
        </w:rPr>
        <w:t xml:space="preserve"> (HCPOA)</w:t>
      </w:r>
      <w:r w:rsidRPr="00C37700">
        <w:rPr>
          <w:b/>
        </w:rPr>
        <w:t>?</w:t>
      </w:r>
      <w:r>
        <w:t xml:space="preserve"> </w:t>
      </w:r>
      <w:r w:rsidRPr="00A9721F">
        <w:rPr>
          <w:b/>
        </w:rPr>
        <w:t>(Slide # 8)</w:t>
      </w:r>
    </w:p>
    <w:p w:rsidR="0008420B" w:rsidRDefault="0008420B" w:rsidP="0008420B">
      <w:pPr>
        <w:pStyle w:val="ListParagraph"/>
      </w:pPr>
    </w:p>
    <w:p w:rsidR="0008420B" w:rsidRDefault="0008420B" w:rsidP="0008420B">
      <w:pPr>
        <w:pStyle w:val="ListParagraph"/>
      </w:pPr>
      <w:r>
        <w:t xml:space="preserve">It is </w:t>
      </w:r>
      <w:r w:rsidRPr="0008420B">
        <w:t>an advanced health care directive. It facilitates the naming of an agent who will be able to make medical decisions for an incapacitated person. The health care power of attorney authorizes the agent to make decisions that the principal (person giving the power) would otherwise be able to make. It can also be durable.</w:t>
      </w:r>
    </w:p>
    <w:p w:rsidR="00C35935" w:rsidRDefault="00C35935" w:rsidP="0008420B">
      <w:pPr>
        <w:pStyle w:val="ListParagraph"/>
      </w:pPr>
    </w:p>
    <w:p w:rsidR="00C35935" w:rsidRDefault="00C35935" w:rsidP="00C35935">
      <w:pPr>
        <w:pStyle w:val="ListParagraph"/>
        <w:numPr>
          <w:ilvl w:val="0"/>
          <w:numId w:val="1"/>
        </w:numPr>
      </w:pPr>
      <w:r w:rsidRPr="00C37700">
        <w:rPr>
          <w:b/>
        </w:rPr>
        <w:t>Advanced Health Care Directives (AHCD)</w:t>
      </w:r>
      <w:r>
        <w:t xml:space="preserve"> </w:t>
      </w:r>
      <w:r w:rsidRPr="00A9721F">
        <w:rPr>
          <w:b/>
        </w:rPr>
        <w:t>(Slide #9)</w:t>
      </w:r>
    </w:p>
    <w:p w:rsidR="00C35935" w:rsidRDefault="00C35935" w:rsidP="00C35935">
      <w:pPr>
        <w:pStyle w:val="ListParagraph"/>
      </w:pPr>
    </w:p>
    <w:p w:rsidR="00C35935" w:rsidRDefault="00C35935" w:rsidP="00C35935">
      <w:pPr>
        <w:pStyle w:val="ListParagraph"/>
      </w:pPr>
      <w:r w:rsidRPr="00C35935">
        <w:t xml:space="preserve">Most advanced health care directives include both the individual health care instructions and a HCPOA. The authority of an agent named in the AHCD becomes effective when the principal becomes incapacitated. That authority ceased to exists once the principal regains capacity. </w:t>
      </w:r>
    </w:p>
    <w:p w:rsidR="00C35935" w:rsidRDefault="00C35935" w:rsidP="00C35935">
      <w:pPr>
        <w:pStyle w:val="ListParagraph"/>
      </w:pPr>
    </w:p>
    <w:p w:rsidR="00C35935" w:rsidRDefault="00C35935" w:rsidP="00C35935">
      <w:pPr>
        <w:pStyle w:val="ListParagraph"/>
        <w:numPr>
          <w:ilvl w:val="0"/>
          <w:numId w:val="1"/>
        </w:numPr>
      </w:pPr>
      <w:r w:rsidRPr="00C37700">
        <w:rPr>
          <w:b/>
        </w:rPr>
        <w:t>California Property Ownership</w:t>
      </w:r>
      <w:r>
        <w:t xml:space="preserve"> </w:t>
      </w:r>
      <w:r w:rsidRPr="00A9721F">
        <w:rPr>
          <w:b/>
        </w:rPr>
        <w:t>(Slide # 12)</w:t>
      </w:r>
    </w:p>
    <w:p w:rsidR="00C35935" w:rsidRDefault="00C35935" w:rsidP="00C35935">
      <w:pPr>
        <w:pStyle w:val="ListParagraph"/>
      </w:pPr>
    </w:p>
    <w:p w:rsidR="00C35935" w:rsidRPr="00C35935" w:rsidRDefault="00C35935" w:rsidP="00C35935">
      <w:pPr>
        <w:pStyle w:val="ListParagraph"/>
        <w:numPr>
          <w:ilvl w:val="0"/>
          <w:numId w:val="8"/>
        </w:numPr>
      </w:pPr>
      <w:r w:rsidRPr="00C35935">
        <w:t>C</w:t>
      </w:r>
      <w:r>
        <w:t xml:space="preserve">ommunity </w:t>
      </w:r>
      <w:r w:rsidRPr="00C35935">
        <w:t>P</w:t>
      </w:r>
      <w:r>
        <w:t>roperty (CP)</w:t>
      </w:r>
      <w:r w:rsidRPr="00C35935">
        <w:t>: all marital property</w:t>
      </w:r>
      <w:r>
        <w:t>. E.g</w:t>
      </w:r>
      <w:r w:rsidRPr="00C35935">
        <w:t>. house, bank accounts, furniture</w:t>
      </w:r>
    </w:p>
    <w:p w:rsidR="00C35935" w:rsidRPr="00C35935" w:rsidRDefault="00C35935" w:rsidP="00C35935">
      <w:pPr>
        <w:pStyle w:val="ListParagraph"/>
        <w:numPr>
          <w:ilvl w:val="0"/>
          <w:numId w:val="8"/>
        </w:numPr>
      </w:pPr>
      <w:r>
        <w:t>Quasi-community P</w:t>
      </w:r>
      <w:r w:rsidRPr="00C35935">
        <w:t>roperty</w:t>
      </w:r>
      <w:r>
        <w:t xml:space="preserve"> (QCP)</w:t>
      </w:r>
      <w:r w:rsidRPr="00C35935">
        <w:t>: property acquired or located in another state that would have been community property had it been acquired in CA or another community property state.</w:t>
      </w:r>
      <w:r w:rsidRPr="00C35935">
        <w:rPr>
          <w:rFonts w:ascii="Calibri" w:eastAsia="+mn-ea" w:hAnsi="Calibri" w:cs="+mn-cs"/>
          <w:color w:val="000000"/>
          <w:kern w:val="24"/>
        </w:rPr>
        <w:t xml:space="preserve"> </w:t>
      </w:r>
      <w:r>
        <w:rPr>
          <w:rFonts w:eastAsia="+mn-ea" w:cs="Times New Roman"/>
          <w:color w:val="000000"/>
          <w:kern w:val="24"/>
        </w:rPr>
        <w:t xml:space="preserve">E.g. </w:t>
      </w:r>
      <w:r w:rsidRPr="00C35935">
        <w:t>Vacation home in Colorado bought with CP</w:t>
      </w:r>
    </w:p>
    <w:p w:rsidR="00C35935" w:rsidRPr="00C35935" w:rsidRDefault="00C35935" w:rsidP="00C35935">
      <w:pPr>
        <w:pStyle w:val="ListParagraph"/>
        <w:numPr>
          <w:ilvl w:val="0"/>
          <w:numId w:val="8"/>
        </w:numPr>
      </w:pPr>
      <w:r>
        <w:t xml:space="preserve">Separate Property: </w:t>
      </w:r>
      <w:r w:rsidRPr="00C35935">
        <w:t xml:space="preserve">property owned prior to the marriage or received through gift or inheritance during the marriage: </w:t>
      </w:r>
      <w:r>
        <w:t xml:space="preserve">E.g. </w:t>
      </w:r>
      <w:r w:rsidRPr="00C35935">
        <w:t>$20,000 to W</w:t>
      </w:r>
      <w:r>
        <w:t>ife</w:t>
      </w:r>
      <w:r w:rsidRPr="00C35935">
        <w:t xml:space="preserve"> from Aunt Mildred or car bought with $20,000 from Aunt Mildred.</w:t>
      </w:r>
    </w:p>
    <w:p w:rsidR="00A9721F" w:rsidRDefault="00C35935" w:rsidP="00A9721F">
      <w:pPr>
        <w:pStyle w:val="ListParagraph"/>
        <w:numPr>
          <w:ilvl w:val="1"/>
          <w:numId w:val="1"/>
        </w:numPr>
      </w:pPr>
      <w:r w:rsidRPr="00C35935">
        <w:t xml:space="preserve">CP and QCP are owned equally by both spouses to the marital community. For gifting and estate planning reasons, CP and QCP cannot be distributed without the consent of both spouses. </w:t>
      </w:r>
    </w:p>
    <w:p w:rsidR="00A9721F" w:rsidRDefault="00C35935" w:rsidP="00A9721F">
      <w:pPr>
        <w:pStyle w:val="ListParagraph"/>
        <w:numPr>
          <w:ilvl w:val="2"/>
          <w:numId w:val="1"/>
        </w:numPr>
      </w:pPr>
      <w:r w:rsidRPr="00C35935">
        <w:t xml:space="preserve">For property that is gifted without consent, the non-consenting party has the right to set-aside the gift.  </w:t>
      </w:r>
    </w:p>
    <w:p w:rsidR="00A9721F" w:rsidRDefault="00C35935" w:rsidP="00A9721F">
      <w:pPr>
        <w:pStyle w:val="ListParagraph"/>
        <w:numPr>
          <w:ilvl w:val="2"/>
          <w:numId w:val="1"/>
        </w:numPr>
      </w:pPr>
      <w:r w:rsidRPr="00C35935">
        <w:t xml:space="preserve">The same rule applies where community property is the subject of a will.  The non-consenting spouse or that spouse’s agent has the right to set aside such bequests. </w:t>
      </w:r>
      <w:r>
        <w:t xml:space="preserve"> </w:t>
      </w:r>
    </w:p>
    <w:p w:rsidR="00C35935" w:rsidRDefault="00C35935" w:rsidP="00A9721F">
      <w:pPr>
        <w:pStyle w:val="ListParagraph"/>
        <w:numPr>
          <w:ilvl w:val="2"/>
          <w:numId w:val="1"/>
        </w:numPr>
      </w:pPr>
      <w:r>
        <w:t xml:space="preserve">Setting aside a gift or bequests involves having that particular transaction declared invalid by the court. </w:t>
      </w:r>
    </w:p>
    <w:p w:rsidR="00C35935" w:rsidRPr="00C35935" w:rsidRDefault="00C35935" w:rsidP="00C35935">
      <w:pPr>
        <w:pStyle w:val="ListParagraph"/>
      </w:pPr>
    </w:p>
    <w:p w:rsidR="00C35935" w:rsidRDefault="00C35935" w:rsidP="00A9721F">
      <w:pPr>
        <w:pStyle w:val="ListParagraph"/>
        <w:numPr>
          <w:ilvl w:val="1"/>
          <w:numId w:val="1"/>
        </w:numPr>
      </w:pPr>
      <w:r w:rsidRPr="00C35935">
        <w:t xml:space="preserve">Separate property of a spouse can only by gifted or bequeathed by the owner. </w:t>
      </w:r>
    </w:p>
    <w:p w:rsidR="00C35935" w:rsidRPr="00C35935" w:rsidRDefault="00C35935" w:rsidP="00C35935">
      <w:pPr>
        <w:pStyle w:val="ListParagraph"/>
      </w:pPr>
    </w:p>
    <w:p w:rsidR="00C35935" w:rsidRDefault="00C35935" w:rsidP="00A9721F">
      <w:pPr>
        <w:pStyle w:val="ListParagraph"/>
        <w:numPr>
          <w:ilvl w:val="1"/>
          <w:numId w:val="1"/>
        </w:numPr>
      </w:pPr>
      <w:r w:rsidRPr="00C35935">
        <w:t xml:space="preserve">It is therefore important to properly characterize property before any actions are taken regarding that property.  It is a litigation trap for property to be bequeathed </w:t>
      </w:r>
      <w:r w:rsidRPr="00C35935">
        <w:lastRenderedPageBreak/>
        <w:t>or devise</w:t>
      </w:r>
      <w:r>
        <w:t>d</w:t>
      </w:r>
      <w:r w:rsidRPr="00C35935">
        <w:t xml:space="preserve"> without i</w:t>
      </w:r>
      <w:r>
        <w:t>ts proper character being known.</w:t>
      </w:r>
      <w:r w:rsidRPr="00C35935">
        <w:t xml:space="preserve"> Estate planning is meant to eliminate or reduce the chances of litigation.  Not taking the time in the outset to properly characterize the subject property could undo that work.</w:t>
      </w:r>
    </w:p>
    <w:p w:rsidR="00A9721F" w:rsidRDefault="00A9721F" w:rsidP="00C35935">
      <w:pPr>
        <w:pStyle w:val="ListParagraph"/>
      </w:pPr>
    </w:p>
    <w:p w:rsidR="00A9721F" w:rsidRDefault="00A9721F" w:rsidP="00A9721F">
      <w:pPr>
        <w:pStyle w:val="ListParagraph"/>
        <w:numPr>
          <w:ilvl w:val="1"/>
          <w:numId w:val="1"/>
        </w:numPr>
        <w:rPr>
          <w:b/>
        </w:rPr>
      </w:pPr>
      <w:r w:rsidRPr="00A9721F">
        <w:t>Note: A person cannot give away more than he/she owns. So here, if the husband dies, only his share of the CP and QCP is up for distributions.</w:t>
      </w:r>
      <w:r>
        <w:t xml:space="preserve"> </w:t>
      </w:r>
      <w:r>
        <w:rPr>
          <w:b/>
        </w:rPr>
        <w:t>(Slide # 14</w:t>
      </w:r>
      <w:r w:rsidRPr="00A9721F">
        <w:rPr>
          <w:b/>
        </w:rPr>
        <w:t>)</w:t>
      </w:r>
    </w:p>
    <w:p w:rsidR="00FC0386" w:rsidRPr="00FC0386" w:rsidRDefault="00FC0386" w:rsidP="00FC0386">
      <w:pPr>
        <w:pStyle w:val="ListParagraph"/>
        <w:rPr>
          <w:b/>
        </w:rPr>
      </w:pPr>
    </w:p>
    <w:p w:rsidR="00FC0386" w:rsidRDefault="00FC0386" w:rsidP="00FC0386">
      <w:pPr>
        <w:pStyle w:val="ListParagraph"/>
        <w:numPr>
          <w:ilvl w:val="0"/>
          <w:numId w:val="1"/>
        </w:numPr>
        <w:rPr>
          <w:b/>
        </w:rPr>
      </w:pPr>
      <w:r>
        <w:rPr>
          <w:b/>
        </w:rPr>
        <w:t>Probate Statutory Fees Table (Slide #20)</w:t>
      </w:r>
    </w:p>
    <w:p w:rsidR="00FC0386" w:rsidRDefault="00FC0386" w:rsidP="00FC0386">
      <w:pPr>
        <w:pStyle w:val="ListParagraph"/>
        <w:rPr>
          <w:b/>
        </w:rPr>
      </w:pPr>
    </w:p>
    <w:p w:rsidR="00FC0386" w:rsidRPr="00FC0386" w:rsidRDefault="00FC0386" w:rsidP="00FC0386">
      <w:pPr>
        <w:pStyle w:val="ListParagraph"/>
      </w:pPr>
      <w:r w:rsidRPr="00FC0386">
        <w:t>Fees are the same for both the executor and the attorney.</w:t>
      </w:r>
    </w:p>
    <w:p w:rsidR="00FC0386" w:rsidRDefault="00FC0386" w:rsidP="00FC0386">
      <w:pPr>
        <w:pStyle w:val="ListParagraph"/>
        <w:rPr>
          <w:b/>
        </w:rPr>
      </w:pPr>
      <w:r>
        <w:rPr>
          <w:b/>
        </w:rPr>
        <w:t xml:space="preserve"> </w:t>
      </w:r>
    </w:p>
    <w:tbl>
      <w:tblPr>
        <w:tblStyle w:val="LightList-Accent5"/>
        <w:tblW w:w="0" w:type="auto"/>
        <w:tblInd w:w="1638" w:type="dxa"/>
        <w:tblLook w:val="04A0"/>
      </w:tblPr>
      <w:tblGrid>
        <w:gridCol w:w="3150"/>
        <w:gridCol w:w="2430"/>
      </w:tblGrid>
      <w:tr w:rsidR="00FC0386" w:rsidTr="00E92C9F">
        <w:trPr>
          <w:cnfStyle w:val="100000000000"/>
        </w:trPr>
        <w:tc>
          <w:tcPr>
            <w:cnfStyle w:val="001000000000"/>
            <w:tcW w:w="3150" w:type="dxa"/>
          </w:tcPr>
          <w:p w:rsidR="00FC0386" w:rsidRDefault="00FC0386" w:rsidP="00E92C9F">
            <w:pPr>
              <w:pStyle w:val="ListParagraph"/>
              <w:ind w:left="0"/>
            </w:pPr>
            <w:r>
              <w:t>Estate Value</w:t>
            </w:r>
          </w:p>
        </w:tc>
        <w:tc>
          <w:tcPr>
            <w:tcW w:w="2430" w:type="dxa"/>
          </w:tcPr>
          <w:p w:rsidR="00FC0386" w:rsidRDefault="00FC0386" w:rsidP="00E92C9F">
            <w:pPr>
              <w:pStyle w:val="ListParagraph"/>
              <w:ind w:left="0"/>
              <w:cnfStyle w:val="100000000000"/>
            </w:pPr>
            <w:r>
              <w:t>Fees</w:t>
            </w:r>
          </w:p>
        </w:tc>
      </w:tr>
      <w:tr w:rsidR="00FC0386" w:rsidTr="00E92C9F">
        <w:trPr>
          <w:cnfStyle w:val="000000100000"/>
        </w:trPr>
        <w:tc>
          <w:tcPr>
            <w:cnfStyle w:val="001000000000"/>
            <w:tcW w:w="3150" w:type="dxa"/>
          </w:tcPr>
          <w:p w:rsidR="00FC0386" w:rsidRPr="00FB1802" w:rsidRDefault="00FC0386" w:rsidP="00E92C9F">
            <w:r w:rsidRPr="00FB1802">
              <w:t>$100,000</w:t>
            </w:r>
          </w:p>
        </w:tc>
        <w:tc>
          <w:tcPr>
            <w:tcW w:w="2430" w:type="dxa"/>
          </w:tcPr>
          <w:p w:rsidR="00FC0386" w:rsidRPr="00FB1802" w:rsidRDefault="00FC0386" w:rsidP="00E92C9F">
            <w:pPr>
              <w:cnfStyle w:val="000000100000"/>
            </w:pPr>
            <w:r w:rsidRPr="00FB1802">
              <w:t>$4000</w:t>
            </w:r>
          </w:p>
        </w:tc>
      </w:tr>
      <w:tr w:rsidR="00FC0386" w:rsidTr="00E92C9F">
        <w:tc>
          <w:tcPr>
            <w:cnfStyle w:val="001000000000"/>
            <w:tcW w:w="3150" w:type="dxa"/>
          </w:tcPr>
          <w:p w:rsidR="00FC0386" w:rsidRPr="00FB1802" w:rsidRDefault="00FC0386" w:rsidP="00E92C9F">
            <w:r w:rsidRPr="00FB1802">
              <w:t>$200,000</w:t>
            </w:r>
          </w:p>
        </w:tc>
        <w:tc>
          <w:tcPr>
            <w:tcW w:w="2430" w:type="dxa"/>
          </w:tcPr>
          <w:p w:rsidR="00FC0386" w:rsidRPr="00FB1802" w:rsidRDefault="00FC0386" w:rsidP="00E92C9F">
            <w:pPr>
              <w:cnfStyle w:val="000000000000"/>
            </w:pPr>
            <w:r w:rsidRPr="00FB1802">
              <w:t>$7000</w:t>
            </w:r>
          </w:p>
        </w:tc>
      </w:tr>
      <w:tr w:rsidR="00FC0386" w:rsidTr="00E92C9F">
        <w:trPr>
          <w:cnfStyle w:val="000000100000"/>
        </w:trPr>
        <w:tc>
          <w:tcPr>
            <w:cnfStyle w:val="001000000000"/>
            <w:tcW w:w="3150" w:type="dxa"/>
          </w:tcPr>
          <w:p w:rsidR="00FC0386" w:rsidRPr="00FB1802" w:rsidRDefault="00FC0386" w:rsidP="00E92C9F">
            <w:r w:rsidRPr="00FB1802">
              <w:t>$300,000</w:t>
            </w:r>
          </w:p>
        </w:tc>
        <w:tc>
          <w:tcPr>
            <w:tcW w:w="2430" w:type="dxa"/>
          </w:tcPr>
          <w:p w:rsidR="00FC0386" w:rsidRPr="00FB1802" w:rsidRDefault="00FC0386" w:rsidP="00E92C9F">
            <w:pPr>
              <w:cnfStyle w:val="000000100000"/>
            </w:pPr>
            <w:r w:rsidRPr="00FB1802">
              <w:t>$9000</w:t>
            </w:r>
          </w:p>
        </w:tc>
      </w:tr>
      <w:tr w:rsidR="00FC0386" w:rsidTr="00E92C9F">
        <w:tc>
          <w:tcPr>
            <w:cnfStyle w:val="001000000000"/>
            <w:tcW w:w="3150" w:type="dxa"/>
          </w:tcPr>
          <w:p w:rsidR="00FC0386" w:rsidRPr="00FB1802" w:rsidRDefault="00FC0386" w:rsidP="00E92C9F">
            <w:r w:rsidRPr="00FB1802">
              <w:t>$400,000</w:t>
            </w:r>
          </w:p>
        </w:tc>
        <w:tc>
          <w:tcPr>
            <w:tcW w:w="2430" w:type="dxa"/>
          </w:tcPr>
          <w:p w:rsidR="00FC0386" w:rsidRPr="00FB1802" w:rsidRDefault="00FC0386" w:rsidP="00E92C9F">
            <w:pPr>
              <w:cnfStyle w:val="000000000000"/>
            </w:pPr>
            <w:r w:rsidRPr="00FB1802">
              <w:t>$11,000</w:t>
            </w:r>
          </w:p>
        </w:tc>
      </w:tr>
      <w:tr w:rsidR="00FC0386" w:rsidTr="00E92C9F">
        <w:trPr>
          <w:cnfStyle w:val="000000100000"/>
        </w:trPr>
        <w:tc>
          <w:tcPr>
            <w:cnfStyle w:val="001000000000"/>
            <w:tcW w:w="3150" w:type="dxa"/>
          </w:tcPr>
          <w:p w:rsidR="00FC0386" w:rsidRPr="00FB1802" w:rsidRDefault="00FC0386" w:rsidP="00E92C9F">
            <w:r w:rsidRPr="00FB1802">
              <w:t>$500,000</w:t>
            </w:r>
          </w:p>
        </w:tc>
        <w:tc>
          <w:tcPr>
            <w:tcW w:w="2430" w:type="dxa"/>
          </w:tcPr>
          <w:p w:rsidR="00FC0386" w:rsidRPr="00FB1802" w:rsidRDefault="00FC0386" w:rsidP="00E92C9F">
            <w:pPr>
              <w:cnfStyle w:val="000000100000"/>
            </w:pPr>
            <w:r w:rsidRPr="00FB1802">
              <w:t>$13,000</w:t>
            </w:r>
          </w:p>
        </w:tc>
      </w:tr>
      <w:tr w:rsidR="00FC0386" w:rsidTr="00E92C9F">
        <w:tc>
          <w:tcPr>
            <w:cnfStyle w:val="001000000000"/>
            <w:tcW w:w="3150" w:type="dxa"/>
          </w:tcPr>
          <w:p w:rsidR="00FC0386" w:rsidRPr="00FB1802" w:rsidRDefault="00FC0386" w:rsidP="00E92C9F">
            <w:r w:rsidRPr="00FB1802">
              <w:t>$600,000</w:t>
            </w:r>
          </w:p>
        </w:tc>
        <w:tc>
          <w:tcPr>
            <w:tcW w:w="2430" w:type="dxa"/>
          </w:tcPr>
          <w:p w:rsidR="00FC0386" w:rsidRPr="00FB1802" w:rsidRDefault="00FC0386" w:rsidP="00E92C9F">
            <w:pPr>
              <w:cnfStyle w:val="000000000000"/>
            </w:pPr>
            <w:r w:rsidRPr="00FB1802">
              <w:t>$15,000</w:t>
            </w:r>
          </w:p>
        </w:tc>
      </w:tr>
      <w:tr w:rsidR="00FC0386" w:rsidTr="00E92C9F">
        <w:trPr>
          <w:cnfStyle w:val="000000100000"/>
        </w:trPr>
        <w:tc>
          <w:tcPr>
            <w:cnfStyle w:val="001000000000"/>
            <w:tcW w:w="3150" w:type="dxa"/>
          </w:tcPr>
          <w:p w:rsidR="00FC0386" w:rsidRPr="00FB1802" w:rsidRDefault="00FC0386" w:rsidP="00E92C9F">
            <w:r w:rsidRPr="00FB1802">
              <w:t>$700,000</w:t>
            </w:r>
          </w:p>
        </w:tc>
        <w:tc>
          <w:tcPr>
            <w:tcW w:w="2430" w:type="dxa"/>
          </w:tcPr>
          <w:p w:rsidR="00FC0386" w:rsidRPr="00FB1802" w:rsidRDefault="00FC0386" w:rsidP="00E92C9F">
            <w:pPr>
              <w:cnfStyle w:val="000000100000"/>
            </w:pPr>
            <w:r w:rsidRPr="00FB1802">
              <w:t>$17,000</w:t>
            </w:r>
          </w:p>
        </w:tc>
      </w:tr>
      <w:tr w:rsidR="00FC0386" w:rsidTr="00E92C9F">
        <w:tc>
          <w:tcPr>
            <w:cnfStyle w:val="001000000000"/>
            <w:tcW w:w="3150" w:type="dxa"/>
          </w:tcPr>
          <w:p w:rsidR="00FC0386" w:rsidRPr="00FB1802" w:rsidRDefault="00FC0386" w:rsidP="00E92C9F">
            <w:r w:rsidRPr="00FB1802">
              <w:t>$800,000</w:t>
            </w:r>
          </w:p>
        </w:tc>
        <w:tc>
          <w:tcPr>
            <w:tcW w:w="2430" w:type="dxa"/>
          </w:tcPr>
          <w:p w:rsidR="00FC0386" w:rsidRPr="00FB1802" w:rsidRDefault="00FC0386" w:rsidP="00E92C9F">
            <w:pPr>
              <w:cnfStyle w:val="000000000000"/>
            </w:pPr>
            <w:r w:rsidRPr="00FB1802">
              <w:t>$19,000</w:t>
            </w:r>
          </w:p>
        </w:tc>
      </w:tr>
      <w:tr w:rsidR="00FC0386" w:rsidTr="00E92C9F">
        <w:trPr>
          <w:cnfStyle w:val="000000100000"/>
        </w:trPr>
        <w:tc>
          <w:tcPr>
            <w:cnfStyle w:val="001000000000"/>
            <w:tcW w:w="3150" w:type="dxa"/>
          </w:tcPr>
          <w:p w:rsidR="00FC0386" w:rsidRPr="00FB1802" w:rsidRDefault="00FC0386" w:rsidP="00E92C9F">
            <w:r w:rsidRPr="00FB1802">
              <w:t>$900,000</w:t>
            </w:r>
          </w:p>
        </w:tc>
        <w:tc>
          <w:tcPr>
            <w:tcW w:w="2430" w:type="dxa"/>
          </w:tcPr>
          <w:p w:rsidR="00FC0386" w:rsidRPr="00FB1802" w:rsidRDefault="00FC0386" w:rsidP="00E92C9F">
            <w:pPr>
              <w:cnfStyle w:val="000000100000"/>
            </w:pPr>
            <w:r w:rsidRPr="00FB1802">
              <w:t>$21,000</w:t>
            </w:r>
          </w:p>
        </w:tc>
      </w:tr>
      <w:tr w:rsidR="00FC0386" w:rsidTr="00E92C9F">
        <w:tc>
          <w:tcPr>
            <w:cnfStyle w:val="001000000000"/>
            <w:tcW w:w="3150" w:type="dxa"/>
          </w:tcPr>
          <w:p w:rsidR="00FC0386" w:rsidRPr="00FB1802" w:rsidRDefault="00FC0386" w:rsidP="00E92C9F">
            <w:r w:rsidRPr="00FB1802">
              <w:t>$1,000,000</w:t>
            </w:r>
          </w:p>
        </w:tc>
        <w:tc>
          <w:tcPr>
            <w:tcW w:w="2430" w:type="dxa"/>
          </w:tcPr>
          <w:p w:rsidR="00FC0386" w:rsidRPr="00FB1802" w:rsidRDefault="00FC0386" w:rsidP="00E92C9F">
            <w:pPr>
              <w:cnfStyle w:val="000000000000"/>
            </w:pPr>
            <w:r w:rsidRPr="00FB1802">
              <w:t>$23,000</w:t>
            </w:r>
          </w:p>
        </w:tc>
      </w:tr>
      <w:tr w:rsidR="00FC0386" w:rsidTr="00E92C9F">
        <w:trPr>
          <w:cnfStyle w:val="000000100000"/>
        </w:trPr>
        <w:tc>
          <w:tcPr>
            <w:cnfStyle w:val="001000000000"/>
            <w:tcW w:w="3150" w:type="dxa"/>
          </w:tcPr>
          <w:p w:rsidR="00FC0386" w:rsidRPr="00FB1802" w:rsidRDefault="00FC0386" w:rsidP="00E92C9F">
            <w:r w:rsidRPr="00FB1802">
              <w:t>$2,000,000</w:t>
            </w:r>
          </w:p>
        </w:tc>
        <w:tc>
          <w:tcPr>
            <w:tcW w:w="2430" w:type="dxa"/>
          </w:tcPr>
          <w:p w:rsidR="00FC0386" w:rsidRPr="00FB1802" w:rsidRDefault="00FC0386" w:rsidP="00E92C9F">
            <w:pPr>
              <w:cnfStyle w:val="000000100000"/>
            </w:pPr>
            <w:r w:rsidRPr="00FB1802">
              <w:t>$33,000</w:t>
            </w:r>
          </w:p>
        </w:tc>
      </w:tr>
      <w:tr w:rsidR="00FC0386" w:rsidTr="00E92C9F">
        <w:tc>
          <w:tcPr>
            <w:cnfStyle w:val="001000000000"/>
            <w:tcW w:w="3150" w:type="dxa"/>
          </w:tcPr>
          <w:p w:rsidR="00FC0386" w:rsidRPr="00FB1802" w:rsidRDefault="00FC0386" w:rsidP="00E92C9F">
            <w:r w:rsidRPr="00FB1802">
              <w:t>$3,000,000</w:t>
            </w:r>
          </w:p>
        </w:tc>
        <w:tc>
          <w:tcPr>
            <w:tcW w:w="2430" w:type="dxa"/>
          </w:tcPr>
          <w:p w:rsidR="00FC0386" w:rsidRPr="00FB1802" w:rsidRDefault="00FC0386" w:rsidP="00E92C9F">
            <w:pPr>
              <w:cnfStyle w:val="000000000000"/>
            </w:pPr>
            <w:r w:rsidRPr="00FB1802">
              <w:t>$43,000</w:t>
            </w:r>
          </w:p>
        </w:tc>
      </w:tr>
      <w:tr w:rsidR="00FC0386" w:rsidTr="00E92C9F">
        <w:trPr>
          <w:cnfStyle w:val="000000100000"/>
        </w:trPr>
        <w:tc>
          <w:tcPr>
            <w:cnfStyle w:val="001000000000"/>
            <w:tcW w:w="3150" w:type="dxa"/>
          </w:tcPr>
          <w:p w:rsidR="00FC0386" w:rsidRPr="00FB1802" w:rsidRDefault="00FC0386" w:rsidP="00E92C9F">
            <w:r w:rsidRPr="00FB1802">
              <w:t>$4,000,000</w:t>
            </w:r>
          </w:p>
        </w:tc>
        <w:tc>
          <w:tcPr>
            <w:tcW w:w="2430" w:type="dxa"/>
          </w:tcPr>
          <w:p w:rsidR="00FC0386" w:rsidRPr="00FB1802" w:rsidRDefault="00FC0386" w:rsidP="00E92C9F">
            <w:pPr>
              <w:cnfStyle w:val="000000100000"/>
            </w:pPr>
            <w:r w:rsidRPr="00FB1802">
              <w:t>$53,000</w:t>
            </w:r>
          </w:p>
        </w:tc>
      </w:tr>
      <w:tr w:rsidR="00FC0386" w:rsidTr="00E92C9F">
        <w:tc>
          <w:tcPr>
            <w:cnfStyle w:val="001000000000"/>
            <w:tcW w:w="3150" w:type="dxa"/>
          </w:tcPr>
          <w:p w:rsidR="00FC0386" w:rsidRPr="00FB1802" w:rsidRDefault="00FC0386" w:rsidP="00E92C9F">
            <w:r w:rsidRPr="00FB1802">
              <w:t>$5,000,000</w:t>
            </w:r>
          </w:p>
        </w:tc>
        <w:tc>
          <w:tcPr>
            <w:tcW w:w="2430" w:type="dxa"/>
          </w:tcPr>
          <w:p w:rsidR="00FC0386" w:rsidRPr="00FB1802" w:rsidRDefault="00FC0386" w:rsidP="00E92C9F">
            <w:pPr>
              <w:cnfStyle w:val="000000000000"/>
            </w:pPr>
            <w:r w:rsidRPr="00FB1802">
              <w:t>$63,000</w:t>
            </w:r>
          </w:p>
        </w:tc>
      </w:tr>
      <w:tr w:rsidR="00FC0386" w:rsidTr="00E92C9F">
        <w:trPr>
          <w:cnfStyle w:val="000000100000"/>
        </w:trPr>
        <w:tc>
          <w:tcPr>
            <w:cnfStyle w:val="001000000000"/>
            <w:tcW w:w="3150" w:type="dxa"/>
          </w:tcPr>
          <w:p w:rsidR="00FC0386" w:rsidRPr="00FB1802" w:rsidRDefault="00FC0386" w:rsidP="00E92C9F">
            <w:r w:rsidRPr="00FB1802">
              <w:t>$6,000,000</w:t>
            </w:r>
          </w:p>
        </w:tc>
        <w:tc>
          <w:tcPr>
            <w:tcW w:w="2430" w:type="dxa"/>
          </w:tcPr>
          <w:p w:rsidR="00FC0386" w:rsidRPr="00FB1802" w:rsidRDefault="00FC0386" w:rsidP="00E92C9F">
            <w:pPr>
              <w:cnfStyle w:val="000000100000"/>
            </w:pPr>
            <w:r w:rsidRPr="00FB1802">
              <w:t>$73,000</w:t>
            </w:r>
          </w:p>
        </w:tc>
      </w:tr>
      <w:tr w:rsidR="00FC0386" w:rsidTr="00E92C9F">
        <w:tc>
          <w:tcPr>
            <w:cnfStyle w:val="001000000000"/>
            <w:tcW w:w="3150" w:type="dxa"/>
          </w:tcPr>
          <w:p w:rsidR="00FC0386" w:rsidRPr="00FB1802" w:rsidRDefault="00FC0386" w:rsidP="00E92C9F">
            <w:r w:rsidRPr="00FB1802">
              <w:t>$7,000,000</w:t>
            </w:r>
          </w:p>
        </w:tc>
        <w:tc>
          <w:tcPr>
            <w:tcW w:w="2430" w:type="dxa"/>
          </w:tcPr>
          <w:p w:rsidR="00FC0386" w:rsidRPr="00FB1802" w:rsidRDefault="00FC0386" w:rsidP="00E92C9F">
            <w:pPr>
              <w:cnfStyle w:val="000000000000"/>
            </w:pPr>
            <w:r w:rsidRPr="00FB1802">
              <w:t>$83,000</w:t>
            </w:r>
          </w:p>
        </w:tc>
      </w:tr>
      <w:tr w:rsidR="00FC0386" w:rsidTr="00E92C9F">
        <w:trPr>
          <w:cnfStyle w:val="000000100000"/>
        </w:trPr>
        <w:tc>
          <w:tcPr>
            <w:cnfStyle w:val="001000000000"/>
            <w:tcW w:w="3150" w:type="dxa"/>
          </w:tcPr>
          <w:p w:rsidR="00FC0386" w:rsidRPr="00FB1802" w:rsidRDefault="00FC0386" w:rsidP="00E92C9F">
            <w:r w:rsidRPr="00FB1802">
              <w:t>$8,000,000</w:t>
            </w:r>
          </w:p>
        </w:tc>
        <w:tc>
          <w:tcPr>
            <w:tcW w:w="2430" w:type="dxa"/>
          </w:tcPr>
          <w:p w:rsidR="00FC0386" w:rsidRPr="00FB1802" w:rsidRDefault="00FC0386" w:rsidP="00E92C9F">
            <w:pPr>
              <w:cnfStyle w:val="000000100000"/>
            </w:pPr>
            <w:r w:rsidRPr="00FB1802">
              <w:t>$93,000</w:t>
            </w:r>
          </w:p>
        </w:tc>
      </w:tr>
      <w:tr w:rsidR="00FC0386" w:rsidTr="00E92C9F">
        <w:tc>
          <w:tcPr>
            <w:cnfStyle w:val="001000000000"/>
            <w:tcW w:w="3150" w:type="dxa"/>
          </w:tcPr>
          <w:p w:rsidR="00FC0386" w:rsidRPr="00FB1802" w:rsidRDefault="00FC0386" w:rsidP="00E92C9F">
            <w:r w:rsidRPr="00FB1802">
              <w:t>$9,000,000</w:t>
            </w:r>
          </w:p>
        </w:tc>
        <w:tc>
          <w:tcPr>
            <w:tcW w:w="2430" w:type="dxa"/>
          </w:tcPr>
          <w:p w:rsidR="00FC0386" w:rsidRPr="00FB1802" w:rsidRDefault="00FC0386" w:rsidP="00E92C9F">
            <w:pPr>
              <w:cnfStyle w:val="000000000000"/>
            </w:pPr>
            <w:r w:rsidRPr="00FB1802">
              <w:t>$103,000</w:t>
            </w:r>
          </w:p>
        </w:tc>
      </w:tr>
      <w:tr w:rsidR="00FC0386" w:rsidTr="00E92C9F">
        <w:trPr>
          <w:cnfStyle w:val="000000100000"/>
        </w:trPr>
        <w:tc>
          <w:tcPr>
            <w:cnfStyle w:val="001000000000"/>
            <w:tcW w:w="3150" w:type="dxa"/>
          </w:tcPr>
          <w:p w:rsidR="00FC0386" w:rsidRPr="00FB1802" w:rsidRDefault="00FC0386" w:rsidP="00E92C9F">
            <w:r w:rsidRPr="00FB1802">
              <w:t>$10,000,000</w:t>
            </w:r>
          </w:p>
        </w:tc>
        <w:tc>
          <w:tcPr>
            <w:tcW w:w="2430" w:type="dxa"/>
          </w:tcPr>
          <w:p w:rsidR="00FC0386" w:rsidRPr="00FB1802" w:rsidRDefault="00FC0386" w:rsidP="00E92C9F">
            <w:pPr>
              <w:cnfStyle w:val="000000100000"/>
            </w:pPr>
            <w:r w:rsidRPr="00FB1802">
              <w:t>$113,000</w:t>
            </w:r>
          </w:p>
        </w:tc>
      </w:tr>
      <w:tr w:rsidR="00FC0386" w:rsidTr="00E92C9F">
        <w:tc>
          <w:tcPr>
            <w:cnfStyle w:val="001000000000"/>
            <w:tcW w:w="3150" w:type="dxa"/>
          </w:tcPr>
          <w:p w:rsidR="00FC0386" w:rsidRPr="00FB1802" w:rsidRDefault="00FC0386" w:rsidP="00E92C9F">
            <w:r w:rsidRPr="00FB1802">
              <w:t>$15,000,000</w:t>
            </w:r>
          </w:p>
        </w:tc>
        <w:tc>
          <w:tcPr>
            <w:tcW w:w="2430" w:type="dxa"/>
          </w:tcPr>
          <w:p w:rsidR="00FC0386" w:rsidRPr="00FB1802" w:rsidRDefault="00FC0386" w:rsidP="00E92C9F">
            <w:pPr>
              <w:cnfStyle w:val="000000000000"/>
            </w:pPr>
            <w:r w:rsidRPr="00FB1802">
              <w:t>$138,000</w:t>
            </w:r>
          </w:p>
        </w:tc>
      </w:tr>
      <w:tr w:rsidR="00FC0386" w:rsidTr="00E92C9F">
        <w:trPr>
          <w:cnfStyle w:val="000000100000"/>
        </w:trPr>
        <w:tc>
          <w:tcPr>
            <w:cnfStyle w:val="001000000000"/>
            <w:tcW w:w="3150" w:type="dxa"/>
          </w:tcPr>
          <w:p w:rsidR="00FC0386" w:rsidRPr="00FB1802" w:rsidRDefault="00FC0386" w:rsidP="00E92C9F">
            <w:r w:rsidRPr="00FB1802">
              <w:t>$20,000,000</w:t>
            </w:r>
          </w:p>
        </w:tc>
        <w:tc>
          <w:tcPr>
            <w:tcW w:w="2430" w:type="dxa"/>
          </w:tcPr>
          <w:p w:rsidR="00FC0386" w:rsidRPr="00FB1802" w:rsidRDefault="00FC0386" w:rsidP="00E92C9F">
            <w:pPr>
              <w:cnfStyle w:val="000000100000"/>
            </w:pPr>
            <w:r w:rsidRPr="00FB1802">
              <w:t>$163,000</w:t>
            </w:r>
          </w:p>
        </w:tc>
      </w:tr>
      <w:tr w:rsidR="00FC0386" w:rsidTr="00E92C9F">
        <w:tc>
          <w:tcPr>
            <w:cnfStyle w:val="001000000000"/>
            <w:tcW w:w="3150" w:type="dxa"/>
          </w:tcPr>
          <w:p w:rsidR="00FC0386" w:rsidRPr="00FB1802" w:rsidRDefault="00FC0386" w:rsidP="00E92C9F">
            <w:r w:rsidRPr="00FB1802">
              <w:t>$25,000,000</w:t>
            </w:r>
          </w:p>
        </w:tc>
        <w:tc>
          <w:tcPr>
            <w:tcW w:w="2430" w:type="dxa"/>
          </w:tcPr>
          <w:p w:rsidR="00FC0386" w:rsidRPr="00FB1802" w:rsidRDefault="00FC0386" w:rsidP="00E92C9F">
            <w:pPr>
              <w:cnfStyle w:val="000000000000"/>
            </w:pPr>
            <w:r w:rsidRPr="00FB1802">
              <w:t>$188,000</w:t>
            </w:r>
          </w:p>
        </w:tc>
      </w:tr>
    </w:tbl>
    <w:p w:rsidR="00A9721F" w:rsidRDefault="00A9721F" w:rsidP="00C35935">
      <w:pPr>
        <w:pStyle w:val="ListParagraph"/>
        <w:rPr>
          <w:b/>
        </w:rPr>
      </w:pPr>
    </w:p>
    <w:p w:rsidR="00A9721F" w:rsidRDefault="00A9721F" w:rsidP="00A9721F">
      <w:pPr>
        <w:pStyle w:val="ListParagraph"/>
        <w:numPr>
          <w:ilvl w:val="0"/>
          <w:numId w:val="1"/>
        </w:numPr>
        <w:rPr>
          <w:b/>
        </w:rPr>
      </w:pPr>
      <w:r>
        <w:rPr>
          <w:b/>
        </w:rPr>
        <w:t>Introduction to Tax Planning</w:t>
      </w:r>
      <w:r w:rsidR="00C37700">
        <w:rPr>
          <w:b/>
        </w:rPr>
        <w:t xml:space="preserve"> (Slide # 24)</w:t>
      </w:r>
    </w:p>
    <w:p w:rsidR="00A9721F" w:rsidRDefault="00A9721F" w:rsidP="00A9721F">
      <w:pPr>
        <w:pStyle w:val="ListParagraph"/>
        <w:rPr>
          <w:b/>
        </w:rPr>
      </w:pPr>
    </w:p>
    <w:p w:rsidR="00A9721F" w:rsidRDefault="004E3879" w:rsidP="00A9721F">
      <w:pPr>
        <w:pStyle w:val="ListParagraph"/>
        <w:numPr>
          <w:ilvl w:val="1"/>
          <w:numId w:val="1"/>
        </w:numPr>
      </w:pPr>
      <w:r w:rsidRPr="004E3879">
        <w:rPr>
          <w:b/>
        </w:rPr>
        <w:t>Federal Estate Tax</w:t>
      </w:r>
      <w:r>
        <w:t xml:space="preserve">: </w:t>
      </w:r>
      <w:r w:rsidR="00A9721F" w:rsidRPr="00A9721F">
        <w:t xml:space="preserve">CA no longer has an estate tax. Estates with a net worth of up to $5, 00,000 does not have to pay any estate tax. This number is effective until 2012. </w:t>
      </w:r>
      <w:r w:rsidR="00A9721F">
        <w:t>This amount is d</w:t>
      </w:r>
      <w:r w:rsidR="00A9721F" w:rsidRPr="00A9721F">
        <w:t xml:space="preserve">ue to decrease in 2013 to $1,000,000.  </w:t>
      </w:r>
    </w:p>
    <w:p w:rsidR="00A9721F" w:rsidRPr="00A9721F" w:rsidRDefault="00A9721F" w:rsidP="00A9721F">
      <w:pPr>
        <w:pStyle w:val="ListParagraph"/>
      </w:pPr>
    </w:p>
    <w:p w:rsidR="00A9721F" w:rsidRDefault="004E3879" w:rsidP="00A9721F">
      <w:pPr>
        <w:pStyle w:val="ListParagraph"/>
        <w:numPr>
          <w:ilvl w:val="1"/>
          <w:numId w:val="1"/>
        </w:numPr>
      </w:pPr>
      <w:r w:rsidRPr="004E3879">
        <w:rPr>
          <w:b/>
        </w:rPr>
        <w:t>Federal Gift Tax</w:t>
      </w:r>
      <w:r>
        <w:t xml:space="preserve">: </w:t>
      </w:r>
      <w:r w:rsidR="00A9721F" w:rsidRPr="00A9721F">
        <w:t xml:space="preserve">Gift tax is only due on gifts that exceed the $13,000 annual exclusion amount. This means that every person is allowed to give up to $13,000 per person, per year without incurring any gift tax. </w:t>
      </w:r>
    </w:p>
    <w:p w:rsidR="00A9721F" w:rsidRDefault="00A9721F" w:rsidP="00A9721F">
      <w:pPr>
        <w:pStyle w:val="ListParagraph"/>
      </w:pPr>
    </w:p>
    <w:p w:rsidR="00A9721F" w:rsidRDefault="00A9721F" w:rsidP="00A9721F">
      <w:pPr>
        <w:pStyle w:val="ListParagraph"/>
        <w:numPr>
          <w:ilvl w:val="2"/>
          <w:numId w:val="1"/>
        </w:numPr>
      </w:pPr>
      <w:r w:rsidRPr="00A9721F">
        <w:lastRenderedPageBreak/>
        <w:t xml:space="preserve">Married couples can combine their annual exclusion and gift a total of $26,000 per person, per year. Additionally, every individual has a lifetime exemption from gift taxes of $5,000,000 until 2012.  </w:t>
      </w:r>
    </w:p>
    <w:p w:rsidR="00A9721F" w:rsidRDefault="00A9721F" w:rsidP="00A9721F">
      <w:pPr>
        <w:pStyle w:val="ListParagraph"/>
        <w:numPr>
          <w:ilvl w:val="2"/>
          <w:numId w:val="1"/>
        </w:numPr>
      </w:pPr>
      <w:r w:rsidRPr="00A9721F">
        <w:t xml:space="preserve">CA does not have a gift tax.  </w:t>
      </w:r>
    </w:p>
    <w:p w:rsidR="00A9721F" w:rsidRPr="00A9721F" w:rsidRDefault="00A9721F" w:rsidP="00A9721F">
      <w:pPr>
        <w:pStyle w:val="ListParagraph"/>
        <w:ind w:left="2160"/>
      </w:pPr>
    </w:p>
    <w:p w:rsidR="00A9721F" w:rsidRDefault="004E3879" w:rsidP="00A9721F">
      <w:pPr>
        <w:pStyle w:val="ListParagraph"/>
        <w:numPr>
          <w:ilvl w:val="1"/>
          <w:numId w:val="1"/>
        </w:numPr>
      </w:pPr>
      <w:r w:rsidRPr="004E3879">
        <w:rPr>
          <w:b/>
        </w:rPr>
        <w:t>Generation Skipping Tax</w:t>
      </w:r>
      <w:r>
        <w:t xml:space="preserve">: </w:t>
      </w:r>
      <w:r w:rsidR="00A9721F" w:rsidRPr="00A9721F">
        <w:t xml:space="preserve">A generation skipping transfer is a lifetime gift or transfer at death to a person who is 2 or more generations below the person making the transfer.  E.g. from a grandparent to their grandchildren. </w:t>
      </w:r>
    </w:p>
    <w:p w:rsidR="00A9721F" w:rsidRPr="00A9721F" w:rsidRDefault="00A9721F" w:rsidP="00A9721F">
      <w:pPr>
        <w:pStyle w:val="ListParagraph"/>
        <w:ind w:left="1440"/>
      </w:pPr>
    </w:p>
    <w:p w:rsidR="00A9721F" w:rsidRPr="00A9721F" w:rsidRDefault="00A9721F" w:rsidP="00A9721F">
      <w:pPr>
        <w:pStyle w:val="ListParagraph"/>
        <w:numPr>
          <w:ilvl w:val="1"/>
          <w:numId w:val="1"/>
        </w:numPr>
      </w:pPr>
      <w:r w:rsidRPr="00A9721F">
        <w:t>Once estates exceed the amount stated</w:t>
      </w:r>
      <w:r>
        <w:t xml:space="preserve"> above</w:t>
      </w:r>
      <w:r w:rsidRPr="00A9721F">
        <w:t>, persons seeking estate planning should also consider getting additional tax planning in order to avoid having to pay the estate tax or reduce the amount that will be paid. With a max</w:t>
      </w:r>
      <w:r>
        <w:t>imum</w:t>
      </w:r>
      <w:r w:rsidRPr="00A9721F">
        <w:t xml:space="preserve"> tax rate of 35%, people with vast amounts of wealth can pay significant</w:t>
      </w:r>
      <w:r>
        <w:t>ly</w:t>
      </w:r>
      <w:r w:rsidRPr="00A9721F">
        <w:t xml:space="preserve"> in estate taxes. </w:t>
      </w:r>
    </w:p>
    <w:p w:rsidR="00A9721F" w:rsidRPr="00A9721F" w:rsidRDefault="00A9721F" w:rsidP="00A9721F">
      <w:pPr>
        <w:pStyle w:val="ListParagraph"/>
      </w:pPr>
      <w:r w:rsidRPr="00A9721F">
        <w:t xml:space="preserve">  </w:t>
      </w:r>
    </w:p>
    <w:p w:rsidR="00A9721F" w:rsidRPr="00A9721F" w:rsidRDefault="00A9721F" w:rsidP="00A9721F">
      <w:pPr>
        <w:pStyle w:val="ListParagraph"/>
        <w:rPr>
          <w:b/>
        </w:rPr>
      </w:pPr>
    </w:p>
    <w:p w:rsidR="00C35935" w:rsidRDefault="00C35935" w:rsidP="00C35935">
      <w:pPr>
        <w:pStyle w:val="ListParagraph"/>
      </w:pPr>
    </w:p>
    <w:sectPr w:rsidR="00C35935" w:rsidSect="009171D0">
      <w:headerReference w:type="default" r:id="rId9"/>
      <w:footerReference w:type="default" r:id="rId10"/>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9FA" w:rsidRDefault="006549FA" w:rsidP="00C37700">
      <w:r>
        <w:separator/>
      </w:r>
    </w:p>
  </w:endnote>
  <w:endnote w:type="continuationSeparator" w:id="0">
    <w:p w:rsidR="006549FA" w:rsidRDefault="006549FA" w:rsidP="00C37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72528"/>
      <w:docPartObj>
        <w:docPartGallery w:val="Page Numbers (Bottom of Page)"/>
        <w:docPartUnique/>
      </w:docPartObj>
    </w:sdtPr>
    <w:sdtContent>
      <w:p w:rsidR="00C37700" w:rsidRDefault="00D90F1C">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37700" w:rsidRDefault="00D90F1C">
                    <w:pPr>
                      <w:jc w:val="center"/>
                    </w:pPr>
                    <w:fldSimple w:instr=" PAGE    \* MERGEFORMAT ">
                      <w:r w:rsidR="004E3879">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9FA" w:rsidRDefault="006549FA" w:rsidP="00C37700">
      <w:r>
        <w:separator/>
      </w:r>
    </w:p>
  </w:footnote>
  <w:footnote w:type="continuationSeparator" w:id="0">
    <w:p w:rsidR="006549FA" w:rsidRDefault="006549FA" w:rsidP="00C37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C37700">
      <w:tc>
        <w:tcPr>
          <w:tcW w:w="3500" w:type="pct"/>
          <w:tcBorders>
            <w:bottom w:val="single" w:sz="4" w:space="0" w:color="auto"/>
          </w:tcBorders>
          <w:vAlign w:val="bottom"/>
        </w:tcPr>
        <w:p w:rsidR="00C37700" w:rsidRDefault="00C37700" w:rsidP="00C37700">
          <w:pPr>
            <w:pStyle w:val="Header"/>
            <w:jc w:val="right"/>
            <w:rPr>
              <w:bCs/>
              <w:noProof/>
              <w:color w:val="76923C" w:themeColor="accent3" w:themeShade="BF"/>
              <w:szCs w:val="24"/>
            </w:rPr>
          </w:pPr>
          <w:r>
            <w:rPr>
              <w:b/>
              <w:bCs/>
              <w:color w:val="76923C" w:themeColor="accent3" w:themeShade="BF"/>
              <w:szCs w:val="24"/>
            </w:rPr>
            <w:t>Introduction to Estate Planning Seminar</w:t>
          </w:r>
        </w:p>
      </w:tc>
      <w:sdt>
        <w:sdtPr>
          <w:rPr>
            <w:color w:val="FFFFFF" w:themeColor="background1"/>
          </w:rPr>
          <w:alias w:val="Date"/>
          <w:id w:val="77677290"/>
          <w:placeholder>
            <w:docPart w:val="2BC80FE773824944B516CC993DF0AAEF"/>
          </w:placeholder>
          <w:dataBinding w:prefixMappings="xmlns:ns0='http://schemas.microsoft.com/office/2006/coverPageProps'" w:xpath="/ns0:CoverPageProperties[1]/ns0:PublishDate[1]" w:storeItemID="{55AF091B-3C7A-41E3-B477-F2FDAA23CFDA}"/>
          <w:date w:fullDate="2011-04-27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C37700" w:rsidRDefault="00C37700">
              <w:pPr>
                <w:pStyle w:val="Header"/>
                <w:rPr>
                  <w:color w:val="FFFFFF" w:themeColor="background1"/>
                </w:rPr>
              </w:pPr>
              <w:r>
                <w:rPr>
                  <w:color w:val="FFFFFF" w:themeColor="background1"/>
                </w:rPr>
                <w:t>April 27, 2011</w:t>
              </w:r>
            </w:p>
          </w:tc>
        </w:sdtContent>
      </w:sdt>
    </w:tr>
  </w:tbl>
  <w:p w:rsidR="00C37700" w:rsidRDefault="00C37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805"/>
    <w:multiLevelType w:val="hybridMultilevel"/>
    <w:tmpl w:val="2FD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F22B2"/>
    <w:multiLevelType w:val="hybridMultilevel"/>
    <w:tmpl w:val="6E90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DF7B92"/>
    <w:multiLevelType w:val="hybridMultilevel"/>
    <w:tmpl w:val="E27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708C0"/>
    <w:multiLevelType w:val="hybridMultilevel"/>
    <w:tmpl w:val="D57EFCA2"/>
    <w:lvl w:ilvl="0" w:tplc="7BFE1AE2">
      <w:start w:val="1"/>
      <w:numFmt w:val="bullet"/>
      <w:lvlText w:val="•"/>
      <w:lvlJc w:val="left"/>
      <w:pPr>
        <w:tabs>
          <w:tab w:val="num" w:pos="720"/>
        </w:tabs>
        <w:ind w:left="720" w:hanging="360"/>
      </w:pPr>
      <w:rPr>
        <w:rFonts w:ascii="Arial" w:hAnsi="Arial" w:hint="default"/>
      </w:rPr>
    </w:lvl>
    <w:lvl w:ilvl="1" w:tplc="D2048540" w:tentative="1">
      <w:start w:val="1"/>
      <w:numFmt w:val="bullet"/>
      <w:lvlText w:val="•"/>
      <w:lvlJc w:val="left"/>
      <w:pPr>
        <w:tabs>
          <w:tab w:val="num" w:pos="1440"/>
        </w:tabs>
        <w:ind w:left="1440" w:hanging="360"/>
      </w:pPr>
      <w:rPr>
        <w:rFonts w:ascii="Arial" w:hAnsi="Arial" w:hint="default"/>
      </w:rPr>
    </w:lvl>
    <w:lvl w:ilvl="2" w:tplc="58648762" w:tentative="1">
      <w:start w:val="1"/>
      <w:numFmt w:val="bullet"/>
      <w:lvlText w:val="•"/>
      <w:lvlJc w:val="left"/>
      <w:pPr>
        <w:tabs>
          <w:tab w:val="num" w:pos="2160"/>
        </w:tabs>
        <w:ind w:left="2160" w:hanging="360"/>
      </w:pPr>
      <w:rPr>
        <w:rFonts w:ascii="Arial" w:hAnsi="Arial" w:hint="default"/>
      </w:rPr>
    </w:lvl>
    <w:lvl w:ilvl="3" w:tplc="620E1CA4" w:tentative="1">
      <w:start w:val="1"/>
      <w:numFmt w:val="bullet"/>
      <w:lvlText w:val="•"/>
      <w:lvlJc w:val="left"/>
      <w:pPr>
        <w:tabs>
          <w:tab w:val="num" w:pos="2880"/>
        </w:tabs>
        <w:ind w:left="2880" w:hanging="360"/>
      </w:pPr>
      <w:rPr>
        <w:rFonts w:ascii="Arial" w:hAnsi="Arial" w:hint="default"/>
      </w:rPr>
    </w:lvl>
    <w:lvl w:ilvl="4" w:tplc="FE72F234" w:tentative="1">
      <w:start w:val="1"/>
      <w:numFmt w:val="bullet"/>
      <w:lvlText w:val="•"/>
      <w:lvlJc w:val="left"/>
      <w:pPr>
        <w:tabs>
          <w:tab w:val="num" w:pos="3600"/>
        </w:tabs>
        <w:ind w:left="3600" w:hanging="360"/>
      </w:pPr>
      <w:rPr>
        <w:rFonts w:ascii="Arial" w:hAnsi="Arial" w:hint="default"/>
      </w:rPr>
    </w:lvl>
    <w:lvl w:ilvl="5" w:tplc="70F0119A" w:tentative="1">
      <w:start w:val="1"/>
      <w:numFmt w:val="bullet"/>
      <w:lvlText w:val="•"/>
      <w:lvlJc w:val="left"/>
      <w:pPr>
        <w:tabs>
          <w:tab w:val="num" w:pos="4320"/>
        </w:tabs>
        <w:ind w:left="4320" w:hanging="360"/>
      </w:pPr>
      <w:rPr>
        <w:rFonts w:ascii="Arial" w:hAnsi="Arial" w:hint="default"/>
      </w:rPr>
    </w:lvl>
    <w:lvl w:ilvl="6" w:tplc="B052C130" w:tentative="1">
      <w:start w:val="1"/>
      <w:numFmt w:val="bullet"/>
      <w:lvlText w:val="•"/>
      <w:lvlJc w:val="left"/>
      <w:pPr>
        <w:tabs>
          <w:tab w:val="num" w:pos="5040"/>
        </w:tabs>
        <w:ind w:left="5040" w:hanging="360"/>
      </w:pPr>
      <w:rPr>
        <w:rFonts w:ascii="Arial" w:hAnsi="Arial" w:hint="default"/>
      </w:rPr>
    </w:lvl>
    <w:lvl w:ilvl="7" w:tplc="DBC83FA2" w:tentative="1">
      <w:start w:val="1"/>
      <w:numFmt w:val="bullet"/>
      <w:lvlText w:val="•"/>
      <w:lvlJc w:val="left"/>
      <w:pPr>
        <w:tabs>
          <w:tab w:val="num" w:pos="5760"/>
        </w:tabs>
        <w:ind w:left="5760" w:hanging="360"/>
      </w:pPr>
      <w:rPr>
        <w:rFonts w:ascii="Arial" w:hAnsi="Arial" w:hint="default"/>
      </w:rPr>
    </w:lvl>
    <w:lvl w:ilvl="8" w:tplc="A3321D76" w:tentative="1">
      <w:start w:val="1"/>
      <w:numFmt w:val="bullet"/>
      <w:lvlText w:val="•"/>
      <w:lvlJc w:val="left"/>
      <w:pPr>
        <w:tabs>
          <w:tab w:val="num" w:pos="6480"/>
        </w:tabs>
        <w:ind w:left="6480" w:hanging="360"/>
      </w:pPr>
      <w:rPr>
        <w:rFonts w:ascii="Arial" w:hAnsi="Arial" w:hint="default"/>
      </w:rPr>
    </w:lvl>
  </w:abstractNum>
  <w:abstractNum w:abstractNumId="4">
    <w:nsid w:val="295F4D5C"/>
    <w:multiLevelType w:val="hybridMultilevel"/>
    <w:tmpl w:val="14848B0C"/>
    <w:lvl w:ilvl="0" w:tplc="5906B92E">
      <w:start w:val="1"/>
      <w:numFmt w:val="decimal"/>
      <w:lvlText w:val="%1."/>
      <w:lvlJc w:val="left"/>
      <w:pPr>
        <w:ind w:left="720" w:hanging="360"/>
      </w:pPr>
      <w:rPr>
        <w:b w:val="0"/>
      </w:rPr>
    </w:lvl>
    <w:lvl w:ilvl="1" w:tplc="B90C8E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47397"/>
    <w:multiLevelType w:val="hybridMultilevel"/>
    <w:tmpl w:val="0EFC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93A23"/>
    <w:multiLevelType w:val="hybridMultilevel"/>
    <w:tmpl w:val="FB967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6A1E1D"/>
    <w:multiLevelType w:val="hybridMultilevel"/>
    <w:tmpl w:val="EE86401A"/>
    <w:lvl w:ilvl="0" w:tplc="9DB221D4">
      <w:start w:val="1"/>
      <w:numFmt w:val="bullet"/>
      <w:lvlText w:val="•"/>
      <w:lvlJc w:val="left"/>
      <w:pPr>
        <w:tabs>
          <w:tab w:val="num" w:pos="720"/>
        </w:tabs>
        <w:ind w:left="720" w:hanging="360"/>
      </w:pPr>
      <w:rPr>
        <w:rFonts w:ascii="Arial" w:hAnsi="Arial" w:hint="default"/>
      </w:rPr>
    </w:lvl>
    <w:lvl w:ilvl="1" w:tplc="165E7DA0" w:tentative="1">
      <w:start w:val="1"/>
      <w:numFmt w:val="bullet"/>
      <w:lvlText w:val="•"/>
      <w:lvlJc w:val="left"/>
      <w:pPr>
        <w:tabs>
          <w:tab w:val="num" w:pos="1440"/>
        </w:tabs>
        <w:ind w:left="1440" w:hanging="360"/>
      </w:pPr>
      <w:rPr>
        <w:rFonts w:ascii="Arial" w:hAnsi="Arial" w:hint="default"/>
      </w:rPr>
    </w:lvl>
    <w:lvl w:ilvl="2" w:tplc="F1B0B128" w:tentative="1">
      <w:start w:val="1"/>
      <w:numFmt w:val="bullet"/>
      <w:lvlText w:val="•"/>
      <w:lvlJc w:val="left"/>
      <w:pPr>
        <w:tabs>
          <w:tab w:val="num" w:pos="2160"/>
        </w:tabs>
        <w:ind w:left="2160" w:hanging="360"/>
      </w:pPr>
      <w:rPr>
        <w:rFonts w:ascii="Arial" w:hAnsi="Arial" w:hint="default"/>
      </w:rPr>
    </w:lvl>
    <w:lvl w:ilvl="3" w:tplc="F2764B34" w:tentative="1">
      <w:start w:val="1"/>
      <w:numFmt w:val="bullet"/>
      <w:lvlText w:val="•"/>
      <w:lvlJc w:val="left"/>
      <w:pPr>
        <w:tabs>
          <w:tab w:val="num" w:pos="2880"/>
        </w:tabs>
        <w:ind w:left="2880" w:hanging="360"/>
      </w:pPr>
      <w:rPr>
        <w:rFonts w:ascii="Arial" w:hAnsi="Arial" w:hint="default"/>
      </w:rPr>
    </w:lvl>
    <w:lvl w:ilvl="4" w:tplc="8C3AFC64" w:tentative="1">
      <w:start w:val="1"/>
      <w:numFmt w:val="bullet"/>
      <w:lvlText w:val="•"/>
      <w:lvlJc w:val="left"/>
      <w:pPr>
        <w:tabs>
          <w:tab w:val="num" w:pos="3600"/>
        </w:tabs>
        <w:ind w:left="3600" w:hanging="360"/>
      </w:pPr>
      <w:rPr>
        <w:rFonts w:ascii="Arial" w:hAnsi="Arial" w:hint="default"/>
      </w:rPr>
    </w:lvl>
    <w:lvl w:ilvl="5" w:tplc="365CDEBE" w:tentative="1">
      <w:start w:val="1"/>
      <w:numFmt w:val="bullet"/>
      <w:lvlText w:val="•"/>
      <w:lvlJc w:val="left"/>
      <w:pPr>
        <w:tabs>
          <w:tab w:val="num" w:pos="4320"/>
        </w:tabs>
        <w:ind w:left="4320" w:hanging="360"/>
      </w:pPr>
      <w:rPr>
        <w:rFonts w:ascii="Arial" w:hAnsi="Arial" w:hint="default"/>
      </w:rPr>
    </w:lvl>
    <w:lvl w:ilvl="6" w:tplc="D31422FC" w:tentative="1">
      <w:start w:val="1"/>
      <w:numFmt w:val="bullet"/>
      <w:lvlText w:val="•"/>
      <w:lvlJc w:val="left"/>
      <w:pPr>
        <w:tabs>
          <w:tab w:val="num" w:pos="5040"/>
        </w:tabs>
        <w:ind w:left="5040" w:hanging="360"/>
      </w:pPr>
      <w:rPr>
        <w:rFonts w:ascii="Arial" w:hAnsi="Arial" w:hint="default"/>
      </w:rPr>
    </w:lvl>
    <w:lvl w:ilvl="7" w:tplc="98E6481C" w:tentative="1">
      <w:start w:val="1"/>
      <w:numFmt w:val="bullet"/>
      <w:lvlText w:val="•"/>
      <w:lvlJc w:val="left"/>
      <w:pPr>
        <w:tabs>
          <w:tab w:val="num" w:pos="5760"/>
        </w:tabs>
        <w:ind w:left="5760" w:hanging="360"/>
      </w:pPr>
      <w:rPr>
        <w:rFonts w:ascii="Arial" w:hAnsi="Arial" w:hint="default"/>
      </w:rPr>
    </w:lvl>
    <w:lvl w:ilvl="8" w:tplc="A754DF44" w:tentative="1">
      <w:start w:val="1"/>
      <w:numFmt w:val="bullet"/>
      <w:lvlText w:val="•"/>
      <w:lvlJc w:val="left"/>
      <w:pPr>
        <w:tabs>
          <w:tab w:val="num" w:pos="6480"/>
        </w:tabs>
        <w:ind w:left="6480" w:hanging="360"/>
      </w:pPr>
      <w:rPr>
        <w:rFonts w:ascii="Arial" w:hAnsi="Arial" w:hint="default"/>
      </w:rPr>
    </w:lvl>
  </w:abstractNum>
  <w:abstractNum w:abstractNumId="8">
    <w:nsid w:val="75B876FA"/>
    <w:multiLevelType w:val="hybridMultilevel"/>
    <w:tmpl w:val="4644F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CB07BE"/>
    <w:multiLevelType w:val="hybridMultilevel"/>
    <w:tmpl w:val="497A5E6A"/>
    <w:lvl w:ilvl="0" w:tplc="818EAC56">
      <w:start w:val="1"/>
      <w:numFmt w:val="bullet"/>
      <w:lvlText w:val="•"/>
      <w:lvlJc w:val="left"/>
      <w:pPr>
        <w:tabs>
          <w:tab w:val="num" w:pos="720"/>
        </w:tabs>
        <w:ind w:left="720" w:hanging="360"/>
      </w:pPr>
      <w:rPr>
        <w:rFonts w:ascii="Arial" w:hAnsi="Arial" w:hint="default"/>
      </w:rPr>
    </w:lvl>
    <w:lvl w:ilvl="1" w:tplc="064A805A" w:tentative="1">
      <w:start w:val="1"/>
      <w:numFmt w:val="bullet"/>
      <w:lvlText w:val="•"/>
      <w:lvlJc w:val="left"/>
      <w:pPr>
        <w:tabs>
          <w:tab w:val="num" w:pos="1440"/>
        </w:tabs>
        <w:ind w:left="1440" w:hanging="360"/>
      </w:pPr>
      <w:rPr>
        <w:rFonts w:ascii="Arial" w:hAnsi="Arial" w:hint="default"/>
      </w:rPr>
    </w:lvl>
    <w:lvl w:ilvl="2" w:tplc="94D2ADC2" w:tentative="1">
      <w:start w:val="1"/>
      <w:numFmt w:val="bullet"/>
      <w:lvlText w:val="•"/>
      <w:lvlJc w:val="left"/>
      <w:pPr>
        <w:tabs>
          <w:tab w:val="num" w:pos="2160"/>
        </w:tabs>
        <w:ind w:left="2160" w:hanging="360"/>
      </w:pPr>
      <w:rPr>
        <w:rFonts w:ascii="Arial" w:hAnsi="Arial" w:hint="default"/>
      </w:rPr>
    </w:lvl>
    <w:lvl w:ilvl="3" w:tplc="98C8E0F2" w:tentative="1">
      <w:start w:val="1"/>
      <w:numFmt w:val="bullet"/>
      <w:lvlText w:val="•"/>
      <w:lvlJc w:val="left"/>
      <w:pPr>
        <w:tabs>
          <w:tab w:val="num" w:pos="2880"/>
        </w:tabs>
        <w:ind w:left="2880" w:hanging="360"/>
      </w:pPr>
      <w:rPr>
        <w:rFonts w:ascii="Arial" w:hAnsi="Arial" w:hint="default"/>
      </w:rPr>
    </w:lvl>
    <w:lvl w:ilvl="4" w:tplc="60762686" w:tentative="1">
      <w:start w:val="1"/>
      <w:numFmt w:val="bullet"/>
      <w:lvlText w:val="•"/>
      <w:lvlJc w:val="left"/>
      <w:pPr>
        <w:tabs>
          <w:tab w:val="num" w:pos="3600"/>
        </w:tabs>
        <w:ind w:left="3600" w:hanging="360"/>
      </w:pPr>
      <w:rPr>
        <w:rFonts w:ascii="Arial" w:hAnsi="Arial" w:hint="default"/>
      </w:rPr>
    </w:lvl>
    <w:lvl w:ilvl="5" w:tplc="49DE4CDA" w:tentative="1">
      <w:start w:val="1"/>
      <w:numFmt w:val="bullet"/>
      <w:lvlText w:val="•"/>
      <w:lvlJc w:val="left"/>
      <w:pPr>
        <w:tabs>
          <w:tab w:val="num" w:pos="4320"/>
        </w:tabs>
        <w:ind w:left="4320" w:hanging="360"/>
      </w:pPr>
      <w:rPr>
        <w:rFonts w:ascii="Arial" w:hAnsi="Arial" w:hint="default"/>
      </w:rPr>
    </w:lvl>
    <w:lvl w:ilvl="6" w:tplc="CFBE6180" w:tentative="1">
      <w:start w:val="1"/>
      <w:numFmt w:val="bullet"/>
      <w:lvlText w:val="•"/>
      <w:lvlJc w:val="left"/>
      <w:pPr>
        <w:tabs>
          <w:tab w:val="num" w:pos="5040"/>
        </w:tabs>
        <w:ind w:left="5040" w:hanging="360"/>
      </w:pPr>
      <w:rPr>
        <w:rFonts w:ascii="Arial" w:hAnsi="Arial" w:hint="default"/>
      </w:rPr>
    </w:lvl>
    <w:lvl w:ilvl="7" w:tplc="D6D41BEA" w:tentative="1">
      <w:start w:val="1"/>
      <w:numFmt w:val="bullet"/>
      <w:lvlText w:val="•"/>
      <w:lvlJc w:val="left"/>
      <w:pPr>
        <w:tabs>
          <w:tab w:val="num" w:pos="5760"/>
        </w:tabs>
        <w:ind w:left="5760" w:hanging="360"/>
      </w:pPr>
      <w:rPr>
        <w:rFonts w:ascii="Arial" w:hAnsi="Arial" w:hint="default"/>
      </w:rPr>
    </w:lvl>
    <w:lvl w:ilvl="8" w:tplc="2DD6BEF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7"/>
  </w:num>
  <w:num w:numId="4">
    <w:abstractNumId w:val="9"/>
  </w:num>
  <w:num w:numId="5">
    <w:abstractNumId w:val="6"/>
  </w:num>
  <w:num w:numId="6">
    <w:abstractNumId w:val="2"/>
  </w:num>
  <w:num w:numId="7">
    <w:abstractNumId w:val="3"/>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2"/>
      <o:rules v:ext="edit">
        <o:r id="V:Rule2" type="connector" idref="#_x0000_s2049"/>
      </o:rules>
    </o:shapelayout>
  </w:hdrShapeDefaults>
  <w:footnotePr>
    <w:footnote w:id="-1"/>
    <w:footnote w:id="0"/>
  </w:footnotePr>
  <w:endnotePr>
    <w:endnote w:id="-1"/>
    <w:endnote w:id="0"/>
  </w:endnotePr>
  <w:compat/>
  <w:rsids>
    <w:rsidRoot w:val="0046493B"/>
    <w:rsid w:val="00047878"/>
    <w:rsid w:val="0008420B"/>
    <w:rsid w:val="001A6B63"/>
    <w:rsid w:val="002A7375"/>
    <w:rsid w:val="00360552"/>
    <w:rsid w:val="00390B31"/>
    <w:rsid w:val="0046493B"/>
    <w:rsid w:val="004E3879"/>
    <w:rsid w:val="00552FD1"/>
    <w:rsid w:val="005A3F85"/>
    <w:rsid w:val="00600475"/>
    <w:rsid w:val="006549FA"/>
    <w:rsid w:val="006C7089"/>
    <w:rsid w:val="00731D49"/>
    <w:rsid w:val="008F5C1D"/>
    <w:rsid w:val="009171D0"/>
    <w:rsid w:val="00A9721F"/>
    <w:rsid w:val="00AD0F24"/>
    <w:rsid w:val="00AD1A95"/>
    <w:rsid w:val="00C35935"/>
    <w:rsid w:val="00C37700"/>
    <w:rsid w:val="00CE2AB3"/>
    <w:rsid w:val="00D03FA4"/>
    <w:rsid w:val="00D053D5"/>
    <w:rsid w:val="00D90F1C"/>
    <w:rsid w:val="00FC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1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3B"/>
    <w:pPr>
      <w:ind w:left="720"/>
      <w:contextualSpacing/>
    </w:pPr>
  </w:style>
  <w:style w:type="table" w:styleId="TableGrid">
    <w:name w:val="Table Grid"/>
    <w:basedOn w:val="TableNormal"/>
    <w:uiPriority w:val="59"/>
    <w:rsid w:val="00464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35935"/>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C37700"/>
    <w:pPr>
      <w:tabs>
        <w:tab w:val="center" w:pos="4680"/>
        <w:tab w:val="right" w:pos="9360"/>
      </w:tabs>
    </w:pPr>
  </w:style>
  <w:style w:type="character" w:customStyle="1" w:styleId="HeaderChar">
    <w:name w:val="Header Char"/>
    <w:basedOn w:val="DefaultParagraphFont"/>
    <w:link w:val="Header"/>
    <w:uiPriority w:val="99"/>
    <w:rsid w:val="00C37700"/>
    <w:rPr>
      <w:rFonts w:ascii="Times New Roman" w:hAnsi="Times New Roman"/>
      <w:sz w:val="24"/>
    </w:rPr>
  </w:style>
  <w:style w:type="paragraph" w:styleId="Footer">
    <w:name w:val="footer"/>
    <w:basedOn w:val="Normal"/>
    <w:link w:val="FooterChar"/>
    <w:uiPriority w:val="99"/>
    <w:unhideWhenUsed/>
    <w:rsid w:val="00C37700"/>
    <w:pPr>
      <w:tabs>
        <w:tab w:val="center" w:pos="4680"/>
        <w:tab w:val="right" w:pos="9360"/>
      </w:tabs>
    </w:pPr>
  </w:style>
  <w:style w:type="character" w:customStyle="1" w:styleId="FooterChar">
    <w:name w:val="Footer Char"/>
    <w:basedOn w:val="DefaultParagraphFont"/>
    <w:link w:val="Footer"/>
    <w:uiPriority w:val="99"/>
    <w:rsid w:val="00C37700"/>
    <w:rPr>
      <w:rFonts w:ascii="Times New Roman" w:hAnsi="Times New Roman"/>
      <w:sz w:val="24"/>
    </w:rPr>
  </w:style>
  <w:style w:type="paragraph" w:styleId="BalloonText">
    <w:name w:val="Balloon Text"/>
    <w:basedOn w:val="Normal"/>
    <w:link w:val="BalloonTextChar"/>
    <w:uiPriority w:val="99"/>
    <w:semiHidden/>
    <w:unhideWhenUsed/>
    <w:rsid w:val="00C37700"/>
    <w:rPr>
      <w:rFonts w:ascii="Tahoma" w:hAnsi="Tahoma" w:cs="Tahoma"/>
      <w:sz w:val="16"/>
      <w:szCs w:val="16"/>
    </w:rPr>
  </w:style>
  <w:style w:type="character" w:customStyle="1" w:styleId="BalloonTextChar">
    <w:name w:val="Balloon Text Char"/>
    <w:basedOn w:val="DefaultParagraphFont"/>
    <w:link w:val="BalloonText"/>
    <w:uiPriority w:val="99"/>
    <w:semiHidden/>
    <w:rsid w:val="00C37700"/>
    <w:rPr>
      <w:rFonts w:ascii="Tahoma" w:hAnsi="Tahoma" w:cs="Tahoma"/>
      <w:sz w:val="16"/>
      <w:szCs w:val="16"/>
    </w:rPr>
  </w:style>
  <w:style w:type="table" w:styleId="LightList-Accent5">
    <w:name w:val="Light List Accent 5"/>
    <w:basedOn w:val="TableNormal"/>
    <w:uiPriority w:val="61"/>
    <w:rsid w:val="00FC038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308901510">
      <w:bodyDiv w:val="1"/>
      <w:marLeft w:val="0"/>
      <w:marRight w:val="0"/>
      <w:marTop w:val="0"/>
      <w:marBottom w:val="0"/>
      <w:divBdr>
        <w:top w:val="none" w:sz="0" w:space="0" w:color="auto"/>
        <w:left w:val="none" w:sz="0" w:space="0" w:color="auto"/>
        <w:bottom w:val="none" w:sz="0" w:space="0" w:color="auto"/>
        <w:right w:val="none" w:sz="0" w:space="0" w:color="auto"/>
      </w:divBdr>
    </w:div>
    <w:div w:id="752627413">
      <w:bodyDiv w:val="1"/>
      <w:marLeft w:val="0"/>
      <w:marRight w:val="0"/>
      <w:marTop w:val="0"/>
      <w:marBottom w:val="0"/>
      <w:divBdr>
        <w:top w:val="none" w:sz="0" w:space="0" w:color="auto"/>
        <w:left w:val="none" w:sz="0" w:space="0" w:color="auto"/>
        <w:bottom w:val="none" w:sz="0" w:space="0" w:color="auto"/>
        <w:right w:val="none" w:sz="0" w:space="0" w:color="auto"/>
      </w:divBdr>
    </w:div>
    <w:div w:id="893587026">
      <w:bodyDiv w:val="1"/>
      <w:marLeft w:val="0"/>
      <w:marRight w:val="0"/>
      <w:marTop w:val="0"/>
      <w:marBottom w:val="0"/>
      <w:divBdr>
        <w:top w:val="none" w:sz="0" w:space="0" w:color="auto"/>
        <w:left w:val="none" w:sz="0" w:space="0" w:color="auto"/>
        <w:bottom w:val="none" w:sz="0" w:space="0" w:color="auto"/>
        <w:right w:val="none" w:sz="0" w:space="0" w:color="auto"/>
      </w:divBdr>
    </w:div>
    <w:div w:id="959918174">
      <w:bodyDiv w:val="1"/>
      <w:marLeft w:val="0"/>
      <w:marRight w:val="0"/>
      <w:marTop w:val="0"/>
      <w:marBottom w:val="0"/>
      <w:divBdr>
        <w:top w:val="none" w:sz="0" w:space="0" w:color="auto"/>
        <w:left w:val="none" w:sz="0" w:space="0" w:color="auto"/>
        <w:bottom w:val="none" w:sz="0" w:space="0" w:color="auto"/>
        <w:right w:val="none" w:sz="0" w:space="0" w:color="auto"/>
      </w:divBdr>
    </w:div>
    <w:div w:id="14642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C80FE773824944B516CC993DF0AAEF"/>
        <w:category>
          <w:name w:val="General"/>
          <w:gallery w:val="placeholder"/>
        </w:category>
        <w:types>
          <w:type w:val="bbPlcHdr"/>
        </w:types>
        <w:behaviors>
          <w:behavior w:val="content"/>
        </w:behaviors>
        <w:guid w:val="{41A03AA1-6BA3-4DEB-93BE-B5D638BBA781}"/>
      </w:docPartPr>
      <w:docPartBody>
        <w:p w:rsidR="0033060A" w:rsidRDefault="00B96BF5" w:rsidP="00B96BF5">
          <w:pPr>
            <w:pStyle w:val="2BC80FE773824944B516CC993DF0AAEF"/>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6BF5"/>
    <w:rsid w:val="001B20F0"/>
    <w:rsid w:val="0033060A"/>
    <w:rsid w:val="006C4323"/>
    <w:rsid w:val="00B96BF5"/>
    <w:rsid w:val="00C67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277C48EBE41369FE63335B3AB79DE">
    <w:name w:val="E75277C48EBE41369FE63335B3AB79DE"/>
    <w:rsid w:val="00B96BF5"/>
  </w:style>
  <w:style w:type="paragraph" w:customStyle="1" w:styleId="2BC80FE773824944B516CC993DF0AAEF">
    <w:name w:val="2BC80FE773824944B516CC993DF0AAEF"/>
    <w:rsid w:val="00B96B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8E1E0-ACA2-4351-815F-DA11DDA8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2011-04-25T19:18:00Z</dcterms:created>
  <dcterms:modified xsi:type="dcterms:W3CDTF">2011-04-26T20:25:00Z</dcterms:modified>
</cp:coreProperties>
</file>